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261" w:firstLineChars="50"/>
        <w:jc w:val="center"/>
        <w:rPr>
          <w:rFonts w:ascii="宋体" w:hAnsi="宋体"/>
          <w:b/>
          <w:sz w:val="52"/>
          <w:szCs w:val="52"/>
          <w:highlight w:val="none"/>
        </w:rPr>
      </w:pPr>
      <w:r>
        <w:rPr>
          <w:rFonts w:hint="eastAsia" w:ascii="宋体" w:hAnsi="宋体"/>
          <w:b/>
          <w:sz w:val="52"/>
          <w:szCs w:val="52"/>
          <w:highlight w:val="none"/>
        </w:rPr>
        <w:t>广州设计之都郡雅酒店运营物资</w:t>
      </w:r>
    </w:p>
    <w:p>
      <w:pPr>
        <w:spacing w:line="360" w:lineRule="auto"/>
        <w:ind w:firstLine="261" w:firstLineChars="50"/>
        <w:jc w:val="center"/>
        <w:rPr>
          <w:rFonts w:ascii="宋体" w:hAnsi="宋体"/>
          <w:b/>
          <w:sz w:val="52"/>
          <w:szCs w:val="52"/>
          <w:highlight w:val="none"/>
        </w:rPr>
      </w:pPr>
      <w:r>
        <w:rPr>
          <w:rFonts w:hint="eastAsia" w:ascii="宋体" w:hAnsi="宋体"/>
          <w:b/>
          <w:sz w:val="52"/>
          <w:szCs w:val="52"/>
          <w:highlight w:val="none"/>
        </w:rPr>
        <w:t>采购项目</w:t>
      </w:r>
    </w:p>
    <w:p>
      <w:pPr>
        <w:spacing w:line="360" w:lineRule="auto"/>
        <w:ind w:firstLine="261" w:firstLineChars="50"/>
        <w:jc w:val="center"/>
        <w:rPr>
          <w:rFonts w:ascii="宋体" w:hAnsi="宋体"/>
          <w:b/>
          <w:sz w:val="52"/>
          <w:szCs w:val="52"/>
          <w:highlight w:val="none"/>
          <w:lang w:val="en-GB"/>
        </w:rPr>
      </w:pPr>
      <w:r>
        <w:rPr>
          <w:rFonts w:ascii="宋体" w:hAnsi="宋体"/>
          <w:b/>
          <w:sz w:val="52"/>
          <w:szCs w:val="52"/>
          <w:highlight w:val="none"/>
          <w:lang w:val="en-GB"/>
        </w:rPr>
        <w:t xml:space="preserve">   </w:t>
      </w:r>
    </w:p>
    <w:p>
      <w:pPr>
        <w:spacing w:line="360" w:lineRule="auto"/>
        <w:jc w:val="right"/>
        <w:rPr>
          <w:rFonts w:ascii="宋体" w:hAnsi="宋体"/>
          <w:b/>
          <w:sz w:val="24"/>
          <w:highlight w:val="none"/>
        </w:rPr>
      </w:pPr>
    </w:p>
    <w:p>
      <w:pPr>
        <w:spacing w:line="360" w:lineRule="auto"/>
        <w:jc w:val="center"/>
        <w:rPr>
          <w:rFonts w:ascii="宋体" w:hAnsi="宋体"/>
          <w:b/>
          <w:sz w:val="24"/>
          <w:highlight w:val="none"/>
        </w:rPr>
      </w:pPr>
    </w:p>
    <w:p>
      <w:pPr>
        <w:spacing w:line="360" w:lineRule="auto"/>
        <w:jc w:val="center"/>
        <w:rPr>
          <w:rFonts w:ascii="宋体" w:hAnsi="宋体"/>
          <w:b/>
          <w:sz w:val="24"/>
          <w:highlight w:val="none"/>
        </w:rPr>
      </w:pPr>
    </w:p>
    <w:p>
      <w:pPr>
        <w:spacing w:line="360" w:lineRule="auto"/>
        <w:jc w:val="center"/>
        <w:rPr>
          <w:rFonts w:ascii="宋体" w:hAnsi="宋体"/>
          <w:b/>
          <w:sz w:val="72"/>
          <w:szCs w:val="72"/>
          <w:highlight w:val="none"/>
        </w:rPr>
      </w:pPr>
      <w:r>
        <w:rPr>
          <w:rFonts w:hint="eastAsia" w:ascii="宋体" w:hAnsi="宋体"/>
          <w:b/>
          <w:sz w:val="72"/>
          <w:szCs w:val="72"/>
          <w:highlight w:val="none"/>
        </w:rPr>
        <w:t>招</w:t>
      </w:r>
    </w:p>
    <w:p>
      <w:pPr>
        <w:spacing w:line="360" w:lineRule="auto"/>
        <w:jc w:val="center"/>
        <w:rPr>
          <w:rFonts w:ascii="宋体" w:hAnsi="宋体"/>
          <w:b/>
          <w:sz w:val="72"/>
          <w:szCs w:val="72"/>
          <w:highlight w:val="none"/>
        </w:rPr>
      </w:pPr>
      <w:r>
        <w:rPr>
          <w:rFonts w:hint="eastAsia" w:ascii="宋体" w:hAnsi="宋体"/>
          <w:b/>
          <w:sz w:val="72"/>
          <w:szCs w:val="72"/>
          <w:highlight w:val="none"/>
        </w:rPr>
        <w:t>标</w:t>
      </w:r>
    </w:p>
    <w:p>
      <w:pPr>
        <w:spacing w:line="360" w:lineRule="auto"/>
        <w:jc w:val="center"/>
        <w:rPr>
          <w:rFonts w:ascii="宋体" w:hAnsi="宋体"/>
          <w:b/>
          <w:sz w:val="72"/>
          <w:szCs w:val="72"/>
          <w:highlight w:val="none"/>
        </w:rPr>
      </w:pPr>
      <w:r>
        <w:rPr>
          <w:rFonts w:hint="eastAsia" w:ascii="宋体" w:hAnsi="宋体"/>
          <w:b/>
          <w:sz w:val="72"/>
          <w:szCs w:val="72"/>
          <w:highlight w:val="none"/>
        </w:rPr>
        <w:t>文</w:t>
      </w:r>
    </w:p>
    <w:p>
      <w:pPr>
        <w:spacing w:line="360" w:lineRule="auto"/>
        <w:jc w:val="center"/>
        <w:rPr>
          <w:rFonts w:ascii="宋体" w:hAnsi="宋体"/>
          <w:b/>
          <w:sz w:val="72"/>
          <w:szCs w:val="72"/>
          <w:highlight w:val="none"/>
        </w:rPr>
      </w:pPr>
      <w:r>
        <w:rPr>
          <w:rFonts w:hint="eastAsia" w:ascii="宋体" w:hAnsi="宋体"/>
          <w:b/>
          <w:sz w:val="72"/>
          <w:szCs w:val="72"/>
          <w:highlight w:val="none"/>
        </w:rPr>
        <w:t>件</w:t>
      </w:r>
    </w:p>
    <w:p>
      <w:pPr>
        <w:spacing w:line="360" w:lineRule="auto"/>
        <w:jc w:val="center"/>
        <w:rPr>
          <w:rFonts w:ascii="宋体" w:hAnsi="宋体"/>
          <w:b/>
          <w:sz w:val="72"/>
          <w:szCs w:val="72"/>
          <w:highlight w:val="none"/>
        </w:rPr>
      </w:pPr>
    </w:p>
    <w:p>
      <w:pPr>
        <w:spacing w:line="360" w:lineRule="auto"/>
        <w:jc w:val="center"/>
        <w:rPr>
          <w:rFonts w:ascii="宋体" w:hAnsi="宋体"/>
          <w:b/>
          <w:sz w:val="44"/>
          <w:szCs w:val="44"/>
          <w:highlight w:val="none"/>
        </w:rPr>
      </w:pPr>
    </w:p>
    <w:p>
      <w:pPr>
        <w:spacing w:before="312" w:beforeLines="100" w:after="312" w:afterLines="100" w:line="360" w:lineRule="auto"/>
        <w:ind w:firstLine="1054" w:firstLineChars="350"/>
        <w:rPr>
          <w:rFonts w:ascii="宋体" w:hAnsi="宋体"/>
          <w:b/>
          <w:sz w:val="30"/>
          <w:szCs w:val="30"/>
          <w:highlight w:val="none"/>
          <w:lang w:val="en-GB"/>
        </w:rPr>
      </w:pPr>
      <w:r>
        <w:rPr>
          <w:rFonts w:hint="eastAsia" w:ascii="宋体" w:hAnsi="宋体"/>
          <w:b/>
          <w:sz w:val="30"/>
          <w:szCs w:val="30"/>
          <w:highlight w:val="none"/>
        </w:rPr>
        <w:t>招标单位：广州设计之都投资运营有限公司酒店管理分公司</w:t>
      </w:r>
    </w:p>
    <w:p>
      <w:pPr>
        <w:spacing w:before="100" w:after="100" w:line="360" w:lineRule="auto"/>
        <w:ind w:firstLine="1054" w:firstLineChars="350"/>
        <w:rPr>
          <w:rFonts w:ascii="宋体" w:hAnsi="宋体"/>
          <w:b/>
          <w:sz w:val="30"/>
          <w:szCs w:val="30"/>
          <w:highlight w:val="none"/>
        </w:rPr>
      </w:pPr>
      <w:r>
        <w:rPr>
          <w:rFonts w:hint="eastAsia" w:ascii="宋体" w:hAnsi="宋体"/>
          <w:b/>
          <w:sz w:val="30"/>
          <w:szCs w:val="30"/>
          <w:highlight w:val="none"/>
        </w:rPr>
        <w:t>招标代理机构：广州市白云城市建设投资有限公司</w:t>
      </w:r>
    </w:p>
    <w:p>
      <w:pPr>
        <w:spacing w:before="100" w:after="100" w:line="360" w:lineRule="auto"/>
        <w:ind w:firstLine="3253" w:firstLineChars="900"/>
        <w:rPr>
          <w:rFonts w:ascii="宋体" w:hAnsi="宋体"/>
          <w:b/>
          <w:sz w:val="36"/>
          <w:szCs w:val="36"/>
          <w:highlight w:val="none"/>
        </w:rPr>
      </w:pPr>
      <w:r>
        <w:rPr>
          <w:rFonts w:ascii="宋体" w:hAnsi="宋体"/>
          <w:b/>
          <w:sz w:val="36"/>
          <w:szCs w:val="36"/>
          <w:highlight w:val="none"/>
        </w:rPr>
        <w:t>20</w:t>
      </w:r>
      <w:r>
        <w:rPr>
          <w:rFonts w:hint="eastAsia" w:ascii="宋体" w:hAnsi="宋体"/>
          <w:b/>
          <w:sz w:val="36"/>
          <w:szCs w:val="36"/>
          <w:highlight w:val="none"/>
        </w:rPr>
        <w:t>22</w:t>
      </w:r>
      <w:r>
        <w:rPr>
          <w:rFonts w:ascii="宋体" w:hAnsi="宋体"/>
          <w:b/>
          <w:sz w:val="36"/>
          <w:szCs w:val="36"/>
          <w:highlight w:val="none"/>
        </w:rPr>
        <w:t>年</w:t>
      </w:r>
      <w:r>
        <w:rPr>
          <w:rFonts w:hint="eastAsia" w:ascii="宋体" w:hAnsi="宋体"/>
          <w:b/>
          <w:sz w:val="36"/>
          <w:szCs w:val="36"/>
          <w:highlight w:val="none"/>
        </w:rPr>
        <w:t>09</w:t>
      </w:r>
      <w:r>
        <w:rPr>
          <w:rFonts w:ascii="宋体" w:hAnsi="宋体"/>
          <w:b/>
          <w:sz w:val="36"/>
          <w:szCs w:val="36"/>
          <w:highlight w:val="none"/>
        </w:rPr>
        <w:t>月</w:t>
      </w:r>
    </w:p>
    <w:p>
      <w:pPr>
        <w:rPr>
          <w:highlight w:val="none"/>
        </w:rPr>
      </w:pPr>
      <w:bookmarkStart w:id="0" w:name="_Toc394068437"/>
    </w:p>
    <w:p>
      <w:pPr>
        <w:spacing w:line="360" w:lineRule="auto"/>
        <w:jc w:val="center"/>
        <w:rPr>
          <w:rFonts w:ascii="宋体" w:hAnsi="宋体"/>
          <w:b/>
          <w:sz w:val="44"/>
          <w:highlight w:val="none"/>
        </w:rPr>
      </w:pPr>
      <w:r>
        <w:rPr>
          <w:rFonts w:ascii="宋体" w:hAnsi="宋体"/>
          <w:b/>
          <w:sz w:val="44"/>
          <w:highlight w:val="none"/>
        </w:rPr>
        <w:br w:type="page"/>
      </w:r>
      <w:bookmarkEnd w:id="0"/>
    </w:p>
    <w:sdt>
      <w:sdtPr>
        <w:rPr>
          <w:rFonts w:ascii="宋体" w:hAnsi="宋体"/>
          <w:highlight w:val="none"/>
        </w:rPr>
        <w:id w:val="147462876"/>
        <w:docPartObj>
          <w:docPartGallery w:val="Table of Contents"/>
          <w:docPartUnique/>
        </w:docPartObj>
      </w:sdtPr>
      <w:sdtEndPr>
        <w:rPr>
          <w:rFonts w:hint="eastAsia" w:ascii="宋体" w:hAnsi="宋体"/>
          <w:b/>
          <w:highlight w:val="none"/>
        </w:rPr>
      </w:sdtEndPr>
      <w:sdtContent>
        <w:p>
          <w:pPr>
            <w:jc w:val="center"/>
            <w:rPr>
              <w:highlight w:val="none"/>
            </w:rPr>
          </w:pPr>
          <w:r>
            <w:rPr>
              <w:rFonts w:ascii="宋体" w:hAnsi="宋体"/>
              <w:highlight w:val="none"/>
            </w:rPr>
            <w:t>目录</w:t>
          </w:r>
        </w:p>
        <w:p>
          <w:pPr>
            <w:pStyle w:val="20"/>
            <w:tabs>
              <w:tab w:val="right" w:leader="dot" w:pos="8731"/>
              <w:tab w:val="clear" w:pos="8296"/>
            </w:tabs>
            <w:rPr>
              <w:highlight w:val="none"/>
            </w:rPr>
          </w:pPr>
          <w:r>
            <w:rPr>
              <w:rFonts w:hint="eastAsia"/>
              <w:highlight w:val="none"/>
            </w:rPr>
            <w:fldChar w:fldCharType="begin"/>
          </w:r>
          <w:r>
            <w:rPr>
              <w:rFonts w:hint="eastAsia"/>
              <w:highlight w:val="none"/>
            </w:rPr>
            <w:instrText xml:space="preserve">TOC \o "1-2" \h \u </w:instrText>
          </w:r>
          <w:r>
            <w:rPr>
              <w:rFonts w:hint="eastAsia"/>
              <w:highlight w:val="none"/>
            </w:rPr>
            <w:fldChar w:fldCharType="separate"/>
          </w:r>
          <w:r>
            <w:rPr>
              <w:highlight w:val="none"/>
            </w:rPr>
            <w:fldChar w:fldCharType="begin"/>
          </w:r>
          <w:r>
            <w:rPr>
              <w:highlight w:val="none"/>
            </w:rPr>
            <w:instrText xml:space="preserve"> HYPERLINK \l "_Toc17349" </w:instrText>
          </w:r>
          <w:r>
            <w:rPr>
              <w:highlight w:val="none"/>
            </w:rPr>
            <w:fldChar w:fldCharType="separate"/>
          </w:r>
          <w:r>
            <w:rPr>
              <w:rFonts w:hint="eastAsia" w:cs="宋体"/>
              <w:highlight w:val="none"/>
            </w:rPr>
            <w:t>第一卷</w:t>
          </w:r>
          <w:r>
            <w:rPr>
              <w:highlight w:val="none"/>
            </w:rPr>
            <w:tab/>
          </w:r>
          <w:r>
            <w:rPr>
              <w:highlight w:val="none"/>
            </w:rPr>
            <w:fldChar w:fldCharType="begin"/>
          </w:r>
          <w:r>
            <w:rPr>
              <w:highlight w:val="none"/>
            </w:rPr>
            <w:instrText xml:space="preserve"> PAGEREF _Toc17349 \h </w:instrText>
          </w:r>
          <w:r>
            <w:rPr>
              <w:highlight w:val="none"/>
            </w:rPr>
            <w:fldChar w:fldCharType="separate"/>
          </w:r>
          <w:r>
            <w:rPr>
              <w:highlight w:val="none"/>
            </w:rPr>
            <w:t>3</w:t>
          </w:r>
          <w:r>
            <w:rPr>
              <w:highlight w:val="none"/>
            </w:rPr>
            <w:fldChar w:fldCharType="end"/>
          </w:r>
          <w:r>
            <w:rPr>
              <w:highlight w:val="none"/>
            </w:rPr>
            <w:fldChar w:fldCharType="end"/>
          </w:r>
        </w:p>
        <w:p>
          <w:pPr>
            <w:pStyle w:val="20"/>
            <w:tabs>
              <w:tab w:val="right" w:leader="dot" w:pos="8731"/>
              <w:tab w:val="clear" w:pos="8296"/>
            </w:tabs>
            <w:rPr>
              <w:highlight w:val="none"/>
            </w:rPr>
          </w:pPr>
          <w:r>
            <w:rPr>
              <w:highlight w:val="none"/>
            </w:rPr>
            <w:fldChar w:fldCharType="begin"/>
          </w:r>
          <w:r>
            <w:rPr>
              <w:highlight w:val="none"/>
            </w:rPr>
            <w:instrText xml:space="preserve"> HYPERLINK \l "_Toc1720" </w:instrText>
          </w:r>
          <w:r>
            <w:rPr>
              <w:highlight w:val="none"/>
            </w:rPr>
            <w:fldChar w:fldCharType="separate"/>
          </w:r>
          <w:r>
            <w:rPr>
              <w:rFonts w:hint="eastAsia" w:cs="宋体"/>
              <w:highlight w:val="none"/>
            </w:rPr>
            <w:t>第一章 招标公告</w:t>
          </w:r>
          <w:r>
            <w:rPr>
              <w:highlight w:val="none"/>
            </w:rPr>
            <w:tab/>
          </w:r>
          <w:r>
            <w:rPr>
              <w:highlight w:val="none"/>
            </w:rPr>
            <w:fldChar w:fldCharType="begin"/>
          </w:r>
          <w:r>
            <w:rPr>
              <w:highlight w:val="none"/>
            </w:rPr>
            <w:instrText xml:space="preserve"> PAGEREF _Toc1720 \h </w:instrText>
          </w:r>
          <w:r>
            <w:rPr>
              <w:highlight w:val="none"/>
            </w:rPr>
            <w:fldChar w:fldCharType="separate"/>
          </w:r>
          <w:r>
            <w:rPr>
              <w:highlight w:val="none"/>
            </w:rPr>
            <w:t>3</w:t>
          </w:r>
          <w:r>
            <w:rPr>
              <w:highlight w:val="none"/>
            </w:rPr>
            <w:fldChar w:fldCharType="end"/>
          </w:r>
          <w:r>
            <w:rPr>
              <w:highlight w:val="none"/>
            </w:rPr>
            <w:fldChar w:fldCharType="end"/>
          </w:r>
        </w:p>
        <w:p>
          <w:pPr>
            <w:pStyle w:val="20"/>
            <w:tabs>
              <w:tab w:val="right" w:leader="dot" w:pos="8731"/>
              <w:tab w:val="clear" w:pos="8296"/>
            </w:tabs>
            <w:rPr>
              <w:highlight w:val="none"/>
            </w:rPr>
          </w:pPr>
          <w:r>
            <w:rPr>
              <w:highlight w:val="none"/>
            </w:rPr>
            <w:fldChar w:fldCharType="begin"/>
          </w:r>
          <w:r>
            <w:rPr>
              <w:highlight w:val="none"/>
            </w:rPr>
            <w:instrText xml:space="preserve"> HYPERLINK \l "_Toc30094" </w:instrText>
          </w:r>
          <w:r>
            <w:rPr>
              <w:highlight w:val="none"/>
            </w:rPr>
            <w:fldChar w:fldCharType="separate"/>
          </w:r>
          <w:r>
            <w:rPr>
              <w:rFonts w:hint="eastAsia"/>
              <w:highlight w:val="none"/>
            </w:rPr>
            <w:t>第二章 投标人须知</w:t>
          </w:r>
          <w:r>
            <w:rPr>
              <w:highlight w:val="none"/>
            </w:rPr>
            <w:tab/>
          </w:r>
          <w:r>
            <w:rPr>
              <w:highlight w:val="none"/>
            </w:rPr>
            <w:fldChar w:fldCharType="begin"/>
          </w:r>
          <w:r>
            <w:rPr>
              <w:highlight w:val="none"/>
            </w:rPr>
            <w:instrText xml:space="preserve"> PAGEREF _Toc30094 \h </w:instrText>
          </w:r>
          <w:r>
            <w:rPr>
              <w:highlight w:val="none"/>
            </w:rPr>
            <w:fldChar w:fldCharType="separate"/>
          </w:r>
          <w:r>
            <w:rPr>
              <w:highlight w:val="none"/>
            </w:rPr>
            <w:t>4</w:t>
          </w:r>
          <w:r>
            <w:rPr>
              <w:highlight w:val="none"/>
            </w:rPr>
            <w:fldChar w:fldCharType="end"/>
          </w:r>
          <w:r>
            <w:rPr>
              <w:highlight w:val="none"/>
            </w:rPr>
            <w:fldChar w:fldCharType="end"/>
          </w:r>
        </w:p>
        <w:p>
          <w:pPr>
            <w:pStyle w:val="20"/>
            <w:tabs>
              <w:tab w:val="right" w:leader="dot" w:pos="8731"/>
              <w:tab w:val="clear" w:pos="8296"/>
            </w:tabs>
            <w:rPr>
              <w:highlight w:val="none"/>
            </w:rPr>
          </w:pPr>
          <w:r>
            <w:rPr>
              <w:highlight w:val="none"/>
            </w:rPr>
            <w:fldChar w:fldCharType="begin"/>
          </w:r>
          <w:r>
            <w:rPr>
              <w:highlight w:val="none"/>
            </w:rPr>
            <w:instrText xml:space="preserve"> HYPERLINK \l "_Toc26923" </w:instrText>
          </w:r>
          <w:r>
            <w:rPr>
              <w:highlight w:val="none"/>
            </w:rPr>
            <w:fldChar w:fldCharType="separate"/>
          </w:r>
          <w:r>
            <w:rPr>
              <w:rFonts w:hint="eastAsia"/>
              <w:highlight w:val="none"/>
            </w:rPr>
            <w:t>第二卷</w:t>
          </w:r>
          <w:r>
            <w:rPr>
              <w:highlight w:val="none"/>
            </w:rPr>
            <w:tab/>
          </w:r>
          <w:r>
            <w:rPr>
              <w:highlight w:val="none"/>
            </w:rPr>
            <w:fldChar w:fldCharType="begin"/>
          </w:r>
          <w:r>
            <w:rPr>
              <w:highlight w:val="none"/>
            </w:rPr>
            <w:instrText xml:space="preserve"> PAGEREF _Toc26923 \h </w:instrText>
          </w:r>
          <w:r>
            <w:rPr>
              <w:highlight w:val="none"/>
            </w:rPr>
            <w:fldChar w:fldCharType="separate"/>
          </w:r>
          <w:r>
            <w:rPr>
              <w:highlight w:val="none"/>
            </w:rPr>
            <w:t>19</w:t>
          </w:r>
          <w:r>
            <w:rPr>
              <w:highlight w:val="none"/>
            </w:rPr>
            <w:fldChar w:fldCharType="end"/>
          </w:r>
          <w:r>
            <w:rPr>
              <w:highlight w:val="none"/>
            </w:rPr>
            <w:fldChar w:fldCharType="end"/>
          </w:r>
        </w:p>
        <w:p>
          <w:pPr>
            <w:pStyle w:val="20"/>
            <w:tabs>
              <w:tab w:val="right" w:leader="dot" w:pos="8731"/>
              <w:tab w:val="clear" w:pos="8296"/>
            </w:tabs>
            <w:rPr>
              <w:highlight w:val="none"/>
            </w:rPr>
          </w:pPr>
          <w:r>
            <w:rPr>
              <w:highlight w:val="none"/>
            </w:rPr>
            <w:fldChar w:fldCharType="begin"/>
          </w:r>
          <w:r>
            <w:rPr>
              <w:highlight w:val="none"/>
            </w:rPr>
            <w:instrText xml:space="preserve"> HYPERLINK \l "_Toc22630" </w:instrText>
          </w:r>
          <w:r>
            <w:rPr>
              <w:highlight w:val="none"/>
            </w:rPr>
            <w:fldChar w:fldCharType="separate"/>
          </w:r>
          <w:r>
            <w:rPr>
              <w:rFonts w:hint="eastAsia"/>
              <w:highlight w:val="none"/>
            </w:rPr>
            <w:t>第三章 用户需求书</w:t>
          </w:r>
          <w:r>
            <w:rPr>
              <w:highlight w:val="none"/>
            </w:rPr>
            <w:tab/>
          </w:r>
          <w:r>
            <w:rPr>
              <w:highlight w:val="none"/>
            </w:rPr>
            <w:fldChar w:fldCharType="begin"/>
          </w:r>
          <w:r>
            <w:rPr>
              <w:highlight w:val="none"/>
            </w:rPr>
            <w:instrText xml:space="preserve"> PAGEREF _Toc22630 \h </w:instrText>
          </w:r>
          <w:r>
            <w:rPr>
              <w:highlight w:val="none"/>
            </w:rPr>
            <w:fldChar w:fldCharType="separate"/>
          </w:r>
          <w:r>
            <w:rPr>
              <w:highlight w:val="none"/>
            </w:rPr>
            <w:t>19</w:t>
          </w:r>
          <w:r>
            <w:rPr>
              <w:highlight w:val="none"/>
            </w:rPr>
            <w:fldChar w:fldCharType="end"/>
          </w:r>
          <w:r>
            <w:rPr>
              <w:highlight w:val="none"/>
            </w:rPr>
            <w:fldChar w:fldCharType="end"/>
          </w:r>
        </w:p>
        <w:p>
          <w:pPr>
            <w:pStyle w:val="20"/>
            <w:tabs>
              <w:tab w:val="right" w:leader="dot" w:pos="8731"/>
              <w:tab w:val="clear" w:pos="8296"/>
            </w:tabs>
            <w:rPr>
              <w:highlight w:val="none"/>
            </w:rPr>
          </w:pPr>
          <w:r>
            <w:rPr>
              <w:highlight w:val="none"/>
            </w:rPr>
            <w:fldChar w:fldCharType="begin"/>
          </w:r>
          <w:r>
            <w:rPr>
              <w:highlight w:val="none"/>
            </w:rPr>
            <w:instrText xml:space="preserve"> HYPERLINK \l "_Toc19764" </w:instrText>
          </w:r>
          <w:r>
            <w:rPr>
              <w:highlight w:val="none"/>
            </w:rPr>
            <w:fldChar w:fldCharType="separate"/>
          </w:r>
          <w:r>
            <w:rPr>
              <w:rFonts w:hint="eastAsia"/>
              <w:highlight w:val="none"/>
            </w:rPr>
            <w:t>第四章 合同格式</w:t>
          </w:r>
          <w:r>
            <w:rPr>
              <w:highlight w:val="none"/>
            </w:rPr>
            <w:tab/>
          </w:r>
          <w:r>
            <w:rPr>
              <w:highlight w:val="none"/>
            </w:rPr>
            <w:fldChar w:fldCharType="begin"/>
          </w:r>
          <w:r>
            <w:rPr>
              <w:highlight w:val="none"/>
            </w:rPr>
            <w:instrText xml:space="preserve"> PAGEREF _Toc19764 \h </w:instrText>
          </w:r>
          <w:r>
            <w:rPr>
              <w:highlight w:val="none"/>
            </w:rPr>
            <w:fldChar w:fldCharType="separate"/>
          </w:r>
          <w:r>
            <w:rPr>
              <w:highlight w:val="none"/>
            </w:rPr>
            <w:t>26</w:t>
          </w:r>
          <w:r>
            <w:rPr>
              <w:highlight w:val="none"/>
            </w:rPr>
            <w:fldChar w:fldCharType="end"/>
          </w:r>
          <w:r>
            <w:rPr>
              <w:highlight w:val="none"/>
            </w:rPr>
            <w:fldChar w:fldCharType="end"/>
          </w:r>
        </w:p>
        <w:p>
          <w:pPr>
            <w:pStyle w:val="20"/>
            <w:tabs>
              <w:tab w:val="right" w:leader="dot" w:pos="8731"/>
              <w:tab w:val="clear" w:pos="8296"/>
            </w:tabs>
            <w:rPr>
              <w:highlight w:val="none"/>
            </w:rPr>
          </w:pPr>
          <w:r>
            <w:rPr>
              <w:highlight w:val="none"/>
            </w:rPr>
            <w:fldChar w:fldCharType="begin"/>
          </w:r>
          <w:r>
            <w:rPr>
              <w:highlight w:val="none"/>
            </w:rPr>
            <w:instrText xml:space="preserve"> HYPERLINK \l "_Toc1340" </w:instrText>
          </w:r>
          <w:r>
            <w:rPr>
              <w:highlight w:val="none"/>
            </w:rPr>
            <w:fldChar w:fldCharType="separate"/>
          </w:r>
          <w:r>
            <w:rPr>
              <w:rFonts w:hint="eastAsia"/>
              <w:highlight w:val="none"/>
            </w:rPr>
            <w:t>第五章 投标文件（格式）</w:t>
          </w:r>
          <w:r>
            <w:rPr>
              <w:highlight w:val="none"/>
            </w:rPr>
            <w:tab/>
          </w:r>
          <w:r>
            <w:rPr>
              <w:highlight w:val="none"/>
            </w:rPr>
            <w:fldChar w:fldCharType="begin"/>
          </w:r>
          <w:r>
            <w:rPr>
              <w:highlight w:val="none"/>
            </w:rPr>
            <w:instrText xml:space="preserve"> PAGEREF _Toc1340 \h </w:instrText>
          </w:r>
          <w:r>
            <w:rPr>
              <w:highlight w:val="none"/>
            </w:rPr>
            <w:fldChar w:fldCharType="separate"/>
          </w:r>
          <w:r>
            <w:rPr>
              <w:highlight w:val="none"/>
            </w:rPr>
            <w:t>27</w:t>
          </w:r>
          <w:r>
            <w:rPr>
              <w:highlight w:val="none"/>
            </w:rPr>
            <w:fldChar w:fldCharType="end"/>
          </w:r>
          <w:r>
            <w:rPr>
              <w:highlight w:val="none"/>
            </w:rPr>
            <w:fldChar w:fldCharType="end"/>
          </w:r>
        </w:p>
        <w:p>
          <w:pPr>
            <w:spacing w:line="360" w:lineRule="auto"/>
            <w:jc w:val="center"/>
            <w:rPr>
              <w:rFonts w:ascii="宋体" w:hAnsi="宋体"/>
              <w:highlight w:val="none"/>
            </w:rPr>
          </w:pPr>
          <w:r>
            <w:rPr>
              <w:rFonts w:hint="eastAsia" w:ascii="宋体" w:hAnsi="宋体"/>
              <w:highlight w:val="none"/>
            </w:rPr>
            <w:fldChar w:fldCharType="end"/>
          </w:r>
        </w:p>
      </w:sdtContent>
    </w:sdt>
    <w:p>
      <w:pPr>
        <w:pStyle w:val="14"/>
        <w:rPr>
          <w:rFonts w:hAnsi="宋体"/>
          <w:highlight w:val="none"/>
        </w:rPr>
      </w:pPr>
    </w:p>
    <w:p>
      <w:pPr>
        <w:pStyle w:val="14"/>
        <w:rPr>
          <w:rFonts w:hAnsi="宋体"/>
          <w:highlight w:val="none"/>
        </w:rPr>
      </w:pPr>
    </w:p>
    <w:p>
      <w:pPr>
        <w:pStyle w:val="14"/>
        <w:rPr>
          <w:rFonts w:hAnsi="宋体"/>
          <w:highlight w:val="none"/>
        </w:rPr>
      </w:pPr>
    </w:p>
    <w:p>
      <w:pPr>
        <w:pStyle w:val="14"/>
        <w:rPr>
          <w:rFonts w:hAnsi="宋体"/>
          <w:highlight w:val="none"/>
        </w:rPr>
      </w:pPr>
    </w:p>
    <w:p>
      <w:pPr>
        <w:pStyle w:val="14"/>
        <w:rPr>
          <w:rFonts w:hAnsi="宋体"/>
          <w:highlight w:val="none"/>
        </w:rPr>
      </w:pPr>
    </w:p>
    <w:p>
      <w:pPr>
        <w:pStyle w:val="14"/>
        <w:rPr>
          <w:rFonts w:hAnsi="宋体"/>
          <w:highlight w:val="none"/>
        </w:rPr>
      </w:pPr>
    </w:p>
    <w:p>
      <w:pPr>
        <w:rPr>
          <w:rFonts w:hAnsi="宋体"/>
          <w:highlight w:val="none"/>
        </w:rPr>
      </w:pPr>
    </w:p>
    <w:p>
      <w:pPr>
        <w:pStyle w:val="14"/>
        <w:rPr>
          <w:rFonts w:hAnsi="宋体"/>
          <w:highlight w:val="none"/>
        </w:rPr>
      </w:pPr>
    </w:p>
    <w:p>
      <w:pPr>
        <w:rPr>
          <w:rFonts w:hAnsi="宋体"/>
          <w:highlight w:val="none"/>
        </w:rPr>
      </w:pPr>
    </w:p>
    <w:p>
      <w:pPr>
        <w:pStyle w:val="14"/>
        <w:rPr>
          <w:rFonts w:hAnsi="宋体"/>
          <w:highlight w:val="none"/>
        </w:rPr>
      </w:pPr>
    </w:p>
    <w:p>
      <w:pPr>
        <w:rPr>
          <w:rFonts w:hAnsi="宋体"/>
          <w:highlight w:val="none"/>
        </w:rPr>
      </w:pPr>
    </w:p>
    <w:p>
      <w:pPr>
        <w:pStyle w:val="14"/>
        <w:rPr>
          <w:rFonts w:hAnsi="宋体"/>
          <w:highlight w:val="none"/>
        </w:rPr>
      </w:pPr>
    </w:p>
    <w:p>
      <w:pPr>
        <w:rPr>
          <w:rFonts w:hAnsi="宋体"/>
          <w:highlight w:val="none"/>
        </w:rPr>
      </w:pPr>
    </w:p>
    <w:p>
      <w:pPr>
        <w:pStyle w:val="14"/>
        <w:rPr>
          <w:rFonts w:hAnsi="宋体"/>
          <w:highlight w:val="none"/>
        </w:rPr>
      </w:pPr>
    </w:p>
    <w:p>
      <w:pPr>
        <w:rPr>
          <w:rFonts w:hAnsi="宋体"/>
          <w:highlight w:val="none"/>
        </w:rPr>
      </w:pPr>
    </w:p>
    <w:p>
      <w:pPr>
        <w:pStyle w:val="14"/>
        <w:rPr>
          <w:rFonts w:hAnsi="宋体"/>
          <w:highlight w:val="none"/>
        </w:rPr>
      </w:pPr>
    </w:p>
    <w:p>
      <w:pPr>
        <w:rPr>
          <w:rFonts w:hAnsi="宋体"/>
          <w:highlight w:val="none"/>
        </w:rPr>
      </w:pPr>
    </w:p>
    <w:p>
      <w:pPr>
        <w:pStyle w:val="14"/>
        <w:rPr>
          <w:rFonts w:hAnsi="宋体"/>
          <w:highlight w:val="none"/>
        </w:rPr>
      </w:pPr>
    </w:p>
    <w:p>
      <w:pPr>
        <w:rPr>
          <w:rFonts w:hAnsi="宋体"/>
          <w:highlight w:val="none"/>
        </w:rPr>
      </w:pPr>
    </w:p>
    <w:p>
      <w:pPr>
        <w:pStyle w:val="14"/>
        <w:rPr>
          <w:rFonts w:hAnsi="宋体"/>
          <w:highlight w:val="none"/>
        </w:rPr>
      </w:pPr>
    </w:p>
    <w:p>
      <w:pPr>
        <w:rPr>
          <w:rFonts w:hAnsi="宋体"/>
          <w:highlight w:val="none"/>
        </w:rPr>
      </w:pPr>
    </w:p>
    <w:p>
      <w:pPr>
        <w:pStyle w:val="14"/>
        <w:rPr>
          <w:highlight w:val="none"/>
        </w:rPr>
      </w:pPr>
    </w:p>
    <w:p>
      <w:pPr>
        <w:pStyle w:val="14"/>
        <w:rPr>
          <w:rFonts w:hAnsi="宋体"/>
          <w:highlight w:val="none"/>
        </w:rPr>
      </w:pPr>
    </w:p>
    <w:p>
      <w:pPr>
        <w:pStyle w:val="14"/>
        <w:rPr>
          <w:rFonts w:hAnsi="宋体"/>
          <w:highlight w:val="none"/>
        </w:rPr>
      </w:pPr>
    </w:p>
    <w:p>
      <w:pPr>
        <w:pStyle w:val="14"/>
        <w:rPr>
          <w:rFonts w:hAnsi="宋体"/>
          <w:highlight w:val="none"/>
        </w:rPr>
      </w:pPr>
    </w:p>
    <w:p>
      <w:pPr>
        <w:pStyle w:val="14"/>
        <w:rPr>
          <w:rFonts w:hAnsi="宋体"/>
          <w:highlight w:val="none"/>
        </w:rPr>
      </w:pPr>
    </w:p>
    <w:p>
      <w:pPr>
        <w:pStyle w:val="14"/>
        <w:rPr>
          <w:rFonts w:hAnsi="宋体"/>
          <w:highlight w:val="none"/>
        </w:rPr>
      </w:pPr>
    </w:p>
    <w:p>
      <w:pPr>
        <w:pStyle w:val="14"/>
        <w:rPr>
          <w:rFonts w:hAnsi="宋体"/>
          <w:highlight w:val="none"/>
        </w:rPr>
      </w:pPr>
    </w:p>
    <w:p>
      <w:pPr>
        <w:pStyle w:val="14"/>
        <w:rPr>
          <w:rFonts w:hAnsi="宋体"/>
          <w:highlight w:val="none"/>
        </w:rPr>
      </w:pPr>
    </w:p>
    <w:p>
      <w:pPr>
        <w:pStyle w:val="14"/>
        <w:rPr>
          <w:rFonts w:hAnsi="宋体"/>
          <w:highlight w:val="none"/>
        </w:rPr>
      </w:pPr>
    </w:p>
    <w:p>
      <w:pPr>
        <w:pStyle w:val="14"/>
        <w:rPr>
          <w:rFonts w:hAnsi="宋体"/>
          <w:highlight w:val="none"/>
        </w:rPr>
      </w:pPr>
    </w:p>
    <w:p>
      <w:pPr>
        <w:pStyle w:val="14"/>
        <w:rPr>
          <w:rFonts w:hAnsi="宋体"/>
          <w:highlight w:val="none"/>
        </w:rPr>
      </w:pPr>
    </w:p>
    <w:p>
      <w:pPr>
        <w:pStyle w:val="14"/>
        <w:rPr>
          <w:rFonts w:hAnsi="宋体"/>
          <w:highlight w:val="none"/>
        </w:rPr>
      </w:pPr>
    </w:p>
    <w:p>
      <w:pPr>
        <w:pStyle w:val="6"/>
        <w:keepNext w:val="0"/>
        <w:keepLines w:val="0"/>
        <w:spacing w:before="0" w:after="0" w:line="340" w:lineRule="atLeast"/>
        <w:jc w:val="center"/>
        <w:rPr>
          <w:rFonts w:ascii="宋体" w:hAnsi="宋体" w:cs="宋体"/>
          <w:highlight w:val="none"/>
        </w:rPr>
      </w:pPr>
      <w:bookmarkStart w:id="1" w:name="_Toc17349"/>
      <w:bookmarkStart w:id="2" w:name="_Toc89252274"/>
      <w:r>
        <w:rPr>
          <w:rFonts w:hint="eastAsia" w:ascii="宋体" w:hAnsi="宋体" w:cs="宋体"/>
          <w:highlight w:val="none"/>
        </w:rPr>
        <w:t>第一卷</w:t>
      </w:r>
      <w:bookmarkEnd w:id="1"/>
      <w:bookmarkEnd w:id="2"/>
    </w:p>
    <w:p>
      <w:pPr>
        <w:pStyle w:val="6"/>
        <w:keepNext w:val="0"/>
        <w:keepLines w:val="0"/>
        <w:spacing w:line="240" w:lineRule="auto"/>
        <w:jc w:val="center"/>
        <w:rPr>
          <w:rFonts w:ascii="宋体" w:hAnsi="宋体" w:cs="宋体"/>
          <w:highlight w:val="none"/>
        </w:rPr>
      </w:pPr>
      <w:bookmarkStart w:id="3" w:name="_Toc1720"/>
      <w:bookmarkStart w:id="4" w:name="_Toc89252275"/>
      <w:r>
        <w:rPr>
          <w:rFonts w:hint="eastAsia" w:ascii="宋体" w:hAnsi="宋体" w:cs="宋体"/>
          <w:highlight w:val="none"/>
        </w:rPr>
        <w:t>第一章 招标公告</w:t>
      </w:r>
      <w:bookmarkEnd w:id="3"/>
      <w:bookmarkEnd w:id="4"/>
    </w:p>
    <w:p>
      <w:pPr>
        <w:spacing w:line="440" w:lineRule="exact"/>
        <w:jc w:val="center"/>
        <w:rPr>
          <w:rFonts w:ascii="宋体" w:hAnsi="宋体" w:cs="宋体"/>
          <w:sz w:val="28"/>
          <w:highlight w:val="none"/>
        </w:rPr>
      </w:pPr>
      <w:r>
        <w:rPr>
          <w:rFonts w:hint="eastAsia" w:ascii="宋体" w:hAnsi="宋体" w:cs="宋体"/>
          <w:sz w:val="28"/>
          <w:highlight w:val="none"/>
        </w:rPr>
        <w:t>（另册）</w:t>
      </w:r>
    </w:p>
    <w:p>
      <w:pPr>
        <w:spacing w:line="360" w:lineRule="auto"/>
        <w:jc w:val="center"/>
        <w:rPr>
          <w:rFonts w:ascii="宋体" w:hAnsi="宋体"/>
          <w:b/>
          <w:sz w:val="44"/>
          <w:highlight w:val="none"/>
        </w:rPr>
        <w:sectPr>
          <w:headerReference r:id="rId3" w:type="default"/>
          <w:footerReference r:id="rId4" w:type="default"/>
          <w:footerReference r:id="rId5" w:type="even"/>
          <w:pgSz w:w="11907" w:h="16840"/>
          <w:pgMar w:top="1247" w:right="1588" w:bottom="1440" w:left="1588" w:header="851" w:footer="992" w:gutter="0"/>
          <w:cols w:space="720" w:num="1"/>
          <w:docGrid w:type="lines" w:linePitch="312" w:charSpace="0"/>
        </w:sectPr>
      </w:pPr>
      <w:bookmarkStart w:id="5" w:name="_Hlt475694989"/>
      <w:bookmarkEnd w:id="5"/>
      <w:bookmarkStart w:id="6" w:name="_Toc13627"/>
      <w:bookmarkStart w:id="7" w:name="_Toc23914"/>
    </w:p>
    <w:p>
      <w:pPr>
        <w:spacing w:line="360" w:lineRule="auto"/>
        <w:jc w:val="center"/>
        <w:outlineLvl w:val="0"/>
        <w:rPr>
          <w:rFonts w:ascii="宋体" w:hAnsi="宋体"/>
          <w:b/>
          <w:sz w:val="44"/>
          <w:highlight w:val="none"/>
        </w:rPr>
      </w:pPr>
      <w:bookmarkStart w:id="8" w:name="_Toc30094"/>
      <w:r>
        <w:rPr>
          <w:rFonts w:hint="eastAsia" w:ascii="宋体" w:hAnsi="宋体"/>
          <w:b/>
          <w:sz w:val="44"/>
          <w:highlight w:val="none"/>
        </w:rPr>
        <w:t>第二章 投标人须知</w:t>
      </w:r>
      <w:bookmarkEnd w:id="6"/>
      <w:bookmarkEnd w:id="7"/>
      <w:bookmarkEnd w:id="8"/>
    </w:p>
    <w:p>
      <w:pPr>
        <w:numPr>
          <w:ilvl w:val="0"/>
          <w:numId w:val="1"/>
        </w:numPr>
        <w:spacing w:line="360" w:lineRule="auto"/>
        <w:rPr>
          <w:rFonts w:ascii="宋体" w:hAnsi="宋体"/>
          <w:b/>
          <w:bCs/>
          <w:highlight w:val="none"/>
        </w:rPr>
      </w:pPr>
      <w:r>
        <w:rPr>
          <w:rFonts w:hint="eastAsia" w:ascii="宋体" w:hAnsi="宋体"/>
          <w:b/>
          <w:bCs/>
          <w:highlight w:val="none"/>
        </w:rPr>
        <w:t>定义</w:t>
      </w:r>
    </w:p>
    <w:p>
      <w:pPr>
        <w:numPr>
          <w:ilvl w:val="1"/>
          <w:numId w:val="1"/>
        </w:numPr>
        <w:spacing w:line="360" w:lineRule="auto"/>
        <w:rPr>
          <w:rFonts w:ascii="宋体" w:hAnsi="宋体"/>
          <w:highlight w:val="none"/>
        </w:rPr>
      </w:pPr>
      <w:r>
        <w:rPr>
          <w:rFonts w:hint="eastAsia" w:ascii="宋体" w:hAnsi="宋体"/>
          <w:highlight w:val="none"/>
        </w:rPr>
        <w:t>招标人：是指依法进行招标的国家机关、事业单位、团体组织。</w:t>
      </w:r>
    </w:p>
    <w:p>
      <w:pPr>
        <w:numPr>
          <w:ilvl w:val="1"/>
          <w:numId w:val="1"/>
        </w:numPr>
        <w:spacing w:line="360" w:lineRule="auto"/>
        <w:rPr>
          <w:rFonts w:ascii="宋体" w:hAnsi="宋体"/>
          <w:highlight w:val="none"/>
        </w:rPr>
      </w:pPr>
      <w:r>
        <w:rPr>
          <w:rFonts w:hint="eastAsia" w:ascii="宋体" w:hAnsi="宋体"/>
          <w:highlight w:val="none"/>
        </w:rPr>
        <w:t>招标代理机构：招标代理机构是依法设立、从事招标代理业务并提供相关服务的社会中介组织。</w:t>
      </w:r>
    </w:p>
    <w:p>
      <w:pPr>
        <w:numPr>
          <w:ilvl w:val="1"/>
          <w:numId w:val="1"/>
        </w:numPr>
        <w:spacing w:line="360" w:lineRule="auto"/>
        <w:outlineLvl w:val="2"/>
        <w:rPr>
          <w:rFonts w:ascii="宋体" w:hAnsi="宋体"/>
          <w:highlight w:val="none"/>
        </w:rPr>
      </w:pPr>
      <w:r>
        <w:rPr>
          <w:rFonts w:hint="eastAsia" w:ascii="宋体" w:hAnsi="宋体"/>
          <w:highlight w:val="none"/>
        </w:rPr>
        <w:t>投标人：是响应招标、参加投标竞争的法人或者其他组织。</w:t>
      </w:r>
    </w:p>
    <w:p>
      <w:pPr>
        <w:numPr>
          <w:ilvl w:val="1"/>
          <w:numId w:val="1"/>
        </w:numPr>
        <w:spacing w:line="360" w:lineRule="auto"/>
        <w:rPr>
          <w:rFonts w:ascii="宋体" w:hAnsi="宋体"/>
          <w:highlight w:val="none"/>
        </w:rPr>
      </w:pPr>
      <w:r>
        <w:rPr>
          <w:rFonts w:hint="eastAsia" w:ascii="宋体" w:hAnsi="宋体"/>
          <w:highlight w:val="none"/>
        </w:rPr>
        <w:t>合同：是指由招标人和投标人签订的规定双方权利和义务的协议。</w:t>
      </w:r>
    </w:p>
    <w:p>
      <w:pPr>
        <w:numPr>
          <w:ilvl w:val="0"/>
          <w:numId w:val="1"/>
        </w:numPr>
        <w:spacing w:line="360" w:lineRule="auto"/>
        <w:rPr>
          <w:rFonts w:ascii="宋体" w:hAnsi="宋体" w:cs="宋体"/>
          <w:b/>
          <w:bCs/>
          <w:szCs w:val="21"/>
          <w:highlight w:val="none"/>
        </w:rPr>
      </w:pPr>
      <w:r>
        <w:rPr>
          <w:rFonts w:hint="eastAsia" w:ascii="宋体" w:hAnsi="宋体" w:cs="宋体"/>
          <w:b/>
          <w:szCs w:val="21"/>
          <w:highlight w:val="none"/>
        </w:rPr>
        <w:t>招标</w:t>
      </w:r>
      <w:r>
        <w:rPr>
          <w:rFonts w:hint="eastAsia" w:ascii="宋体" w:hAnsi="宋体"/>
          <w:b/>
          <w:bCs/>
          <w:highlight w:val="none"/>
        </w:rPr>
        <w:t>项目</w:t>
      </w:r>
      <w:r>
        <w:rPr>
          <w:rFonts w:hint="eastAsia" w:ascii="宋体" w:hAnsi="宋体" w:cs="宋体"/>
          <w:b/>
          <w:szCs w:val="21"/>
          <w:highlight w:val="none"/>
        </w:rPr>
        <w:t>及投标人资格条件</w:t>
      </w:r>
    </w:p>
    <w:p>
      <w:pPr>
        <w:numPr>
          <w:ilvl w:val="1"/>
          <w:numId w:val="1"/>
        </w:numPr>
        <w:spacing w:line="360" w:lineRule="auto"/>
        <w:outlineLvl w:val="2"/>
        <w:rPr>
          <w:rFonts w:ascii="宋体" w:hAnsi="宋体"/>
          <w:b/>
          <w:bCs/>
          <w:highlight w:val="none"/>
        </w:rPr>
      </w:pPr>
      <w:r>
        <w:rPr>
          <w:rFonts w:hint="eastAsia" w:ascii="宋体" w:hAnsi="宋体"/>
          <w:b/>
          <w:bCs/>
          <w:highlight w:val="none"/>
        </w:rPr>
        <w:t>招标项目</w:t>
      </w:r>
    </w:p>
    <w:p>
      <w:pPr>
        <w:numPr>
          <w:ilvl w:val="2"/>
          <w:numId w:val="1"/>
        </w:numPr>
        <w:spacing w:line="360" w:lineRule="auto"/>
        <w:rPr>
          <w:rFonts w:ascii="宋体" w:hAnsi="宋体"/>
          <w:highlight w:val="none"/>
        </w:rPr>
      </w:pPr>
      <w:r>
        <w:rPr>
          <w:rFonts w:hint="eastAsia" w:ascii="宋体" w:hAnsi="宋体"/>
          <w:highlight w:val="none"/>
        </w:rPr>
        <w:t>项目名称：</w:t>
      </w:r>
      <w:r>
        <w:rPr>
          <w:rFonts w:hint="eastAsia" w:ascii="宋体" w:hAnsi="宋体"/>
          <w:szCs w:val="21"/>
          <w:highlight w:val="none"/>
          <w:lang w:val="en-GB"/>
        </w:rPr>
        <w:t>广州设计之都郡雅酒店运营物资采购项目</w:t>
      </w:r>
      <w:r>
        <w:rPr>
          <w:rFonts w:hint="eastAsia" w:ascii="宋体" w:hAnsi="宋体"/>
          <w:highlight w:val="none"/>
        </w:rPr>
        <w:t>。</w:t>
      </w:r>
    </w:p>
    <w:p>
      <w:pPr>
        <w:numPr>
          <w:ilvl w:val="2"/>
          <w:numId w:val="1"/>
        </w:numPr>
        <w:tabs>
          <w:tab w:val="left" w:pos="420"/>
        </w:tabs>
        <w:spacing w:line="360" w:lineRule="auto"/>
        <w:rPr>
          <w:rFonts w:ascii="宋体" w:hAnsi="宋体"/>
          <w:highlight w:val="none"/>
        </w:rPr>
      </w:pPr>
      <w:r>
        <w:rPr>
          <w:rFonts w:hint="eastAsia" w:ascii="宋体" w:hAnsi="宋体"/>
          <w:highlight w:val="none"/>
        </w:rPr>
        <w:t>招标范围及内容：详见招标公告。</w:t>
      </w:r>
    </w:p>
    <w:p>
      <w:pPr>
        <w:numPr>
          <w:ilvl w:val="1"/>
          <w:numId w:val="1"/>
        </w:numPr>
        <w:spacing w:line="360" w:lineRule="auto"/>
        <w:outlineLvl w:val="2"/>
        <w:rPr>
          <w:rFonts w:ascii="宋体" w:hAnsi="宋体"/>
          <w:highlight w:val="none"/>
        </w:rPr>
      </w:pPr>
      <w:r>
        <w:rPr>
          <w:rFonts w:hint="eastAsia" w:ascii="宋体" w:hAnsi="宋体"/>
          <w:highlight w:val="none"/>
        </w:rPr>
        <w:t>投标人资格条件：详见招标公告。</w:t>
      </w:r>
    </w:p>
    <w:p>
      <w:pPr>
        <w:numPr>
          <w:ilvl w:val="0"/>
          <w:numId w:val="1"/>
        </w:numPr>
        <w:spacing w:line="360" w:lineRule="auto"/>
        <w:rPr>
          <w:rFonts w:ascii="宋体" w:hAnsi="宋体" w:cs="宋体"/>
          <w:b/>
          <w:szCs w:val="21"/>
          <w:highlight w:val="none"/>
        </w:rPr>
      </w:pPr>
      <w:r>
        <w:rPr>
          <w:rFonts w:hint="eastAsia" w:ascii="宋体" w:hAnsi="宋体"/>
          <w:b/>
          <w:bCs/>
          <w:highlight w:val="none"/>
        </w:rPr>
        <w:t>费用</w:t>
      </w:r>
      <w:r>
        <w:rPr>
          <w:rFonts w:hint="eastAsia" w:ascii="宋体" w:hAnsi="宋体" w:cs="宋体"/>
          <w:b/>
          <w:szCs w:val="21"/>
          <w:highlight w:val="none"/>
        </w:rPr>
        <w:t>承担</w:t>
      </w:r>
    </w:p>
    <w:p>
      <w:pPr>
        <w:numPr>
          <w:ilvl w:val="1"/>
          <w:numId w:val="1"/>
        </w:numPr>
        <w:spacing w:line="360" w:lineRule="auto"/>
        <w:outlineLvl w:val="2"/>
        <w:rPr>
          <w:rFonts w:ascii="宋体" w:hAnsi="宋体"/>
          <w:highlight w:val="none"/>
        </w:rPr>
      </w:pPr>
      <w:r>
        <w:rPr>
          <w:rFonts w:hint="eastAsia" w:ascii="宋体" w:hAnsi="宋体"/>
          <w:highlight w:val="none"/>
        </w:rPr>
        <w:t>投标人准备和参加投标活动发生的费用自理。</w:t>
      </w:r>
    </w:p>
    <w:p>
      <w:pPr>
        <w:numPr>
          <w:ilvl w:val="0"/>
          <w:numId w:val="1"/>
        </w:numPr>
        <w:spacing w:line="360" w:lineRule="auto"/>
        <w:rPr>
          <w:rFonts w:ascii="宋体" w:hAnsi="宋体" w:cs="宋体"/>
          <w:b/>
          <w:szCs w:val="21"/>
          <w:highlight w:val="none"/>
        </w:rPr>
      </w:pPr>
      <w:r>
        <w:rPr>
          <w:rFonts w:hint="eastAsia" w:ascii="宋体" w:hAnsi="宋体"/>
          <w:b/>
          <w:bCs/>
          <w:highlight w:val="none"/>
        </w:rPr>
        <w:t>保密</w:t>
      </w:r>
    </w:p>
    <w:p>
      <w:pPr>
        <w:numPr>
          <w:ilvl w:val="1"/>
          <w:numId w:val="1"/>
        </w:numPr>
        <w:spacing w:line="360" w:lineRule="auto"/>
        <w:rPr>
          <w:highlight w:val="none"/>
        </w:rPr>
      </w:pPr>
      <w:r>
        <w:rPr>
          <w:rFonts w:hint="eastAsia"/>
          <w:highlight w:val="none"/>
        </w:rPr>
        <w:t xml:space="preserve">参与招标投标活动的各方应对招标文件和投标文件中的商业和技术等秘密保密，否则应承担相应的法律责任。 </w:t>
      </w:r>
    </w:p>
    <w:p>
      <w:pPr>
        <w:numPr>
          <w:ilvl w:val="0"/>
          <w:numId w:val="1"/>
        </w:numPr>
        <w:spacing w:line="360" w:lineRule="auto"/>
        <w:rPr>
          <w:rFonts w:ascii="宋体" w:hAnsi="宋体" w:cs="宋体"/>
          <w:b/>
          <w:szCs w:val="21"/>
          <w:highlight w:val="none"/>
        </w:rPr>
      </w:pPr>
      <w:r>
        <w:rPr>
          <w:rFonts w:hint="eastAsia" w:ascii="宋体" w:hAnsi="宋体" w:cs="宋体"/>
          <w:b/>
          <w:szCs w:val="21"/>
          <w:highlight w:val="none"/>
        </w:rPr>
        <w:t>语言文字</w:t>
      </w:r>
    </w:p>
    <w:p>
      <w:pPr>
        <w:numPr>
          <w:ilvl w:val="1"/>
          <w:numId w:val="1"/>
        </w:numPr>
        <w:spacing w:line="360" w:lineRule="auto"/>
        <w:rPr>
          <w:highlight w:val="none"/>
        </w:rPr>
      </w:pPr>
      <w:r>
        <w:rPr>
          <w:rFonts w:hint="eastAsia"/>
          <w:highlight w:val="none"/>
        </w:rPr>
        <w:t>招标投标文件使用的语言文字为中文。专用术语使用外文的，应附有中文注释。</w:t>
      </w:r>
    </w:p>
    <w:p>
      <w:pPr>
        <w:numPr>
          <w:ilvl w:val="0"/>
          <w:numId w:val="1"/>
        </w:numPr>
        <w:spacing w:line="360" w:lineRule="auto"/>
        <w:rPr>
          <w:rFonts w:ascii="宋体" w:hAnsi="宋体" w:cs="宋体"/>
          <w:b/>
          <w:szCs w:val="21"/>
          <w:highlight w:val="none"/>
        </w:rPr>
      </w:pPr>
      <w:r>
        <w:rPr>
          <w:rFonts w:hint="eastAsia" w:ascii="宋体" w:hAnsi="宋体" w:cs="宋体"/>
          <w:b/>
          <w:szCs w:val="21"/>
          <w:highlight w:val="none"/>
        </w:rPr>
        <w:t>计量单位</w:t>
      </w:r>
    </w:p>
    <w:p>
      <w:pPr>
        <w:numPr>
          <w:ilvl w:val="1"/>
          <w:numId w:val="1"/>
        </w:numPr>
        <w:spacing w:line="360" w:lineRule="auto"/>
        <w:outlineLvl w:val="2"/>
        <w:rPr>
          <w:highlight w:val="none"/>
        </w:rPr>
      </w:pPr>
      <w:r>
        <w:rPr>
          <w:rFonts w:hint="eastAsia"/>
          <w:highlight w:val="none"/>
        </w:rPr>
        <w:t>所有计量均采用中华人民共和国法定计量单位。</w:t>
      </w:r>
    </w:p>
    <w:p>
      <w:pPr>
        <w:numPr>
          <w:ilvl w:val="0"/>
          <w:numId w:val="1"/>
        </w:numPr>
        <w:spacing w:line="360" w:lineRule="auto"/>
        <w:rPr>
          <w:rFonts w:ascii="宋体" w:hAnsi="宋体" w:cs="宋体"/>
          <w:b/>
          <w:szCs w:val="21"/>
          <w:highlight w:val="none"/>
        </w:rPr>
      </w:pPr>
      <w:r>
        <w:rPr>
          <w:rFonts w:hint="eastAsia" w:ascii="宋体" w:hAnsi="宋体" w:cs="宋体"/>
          <w:b/>
          <w:szCs w:val="21"/>
          <w:highlight w:val="none"/>
        </w:rPr>
        <w:t>投标预备会</w:t>
      </w:r>
    </w:p>
    <w:p>
      <w:pPr>
        <w:numPr>
          <w:ilvl w:val="1"/>
          <w:numId w:val="1"/>
        </w:numPr>
        <w:spacing w:line="360" w:lineRule="auto"/>
        <w:outlineLvl w:val="2"/>
        <w:rPr>
          <w:rFonts w:ascii="宋体" w:hAnsi="宋体"/>
          <w:highlight w:val="none"/>
        </w:rPr>
      </w:pPr>
      <w:r>
        <w:rPr>
          <w:rFonts w:hint="eastAsia" w:ascii="宋体" w:hAnsi="宋体"/>
          <w:highlight w:val="none"/>
        </w:rPr>
        <w:t>本项目不召开投标预备会。</w:t>
      </w:r>
    </w:p>
    <w:p>
      <w:pPr>
        <w:numPr>
          <w:ilvl w:val="0"/>
          <w:numId w:val="1"/>
        </w:numPr>
        <w:spacing w:line="360" w:lineRule="auto"/>
        <w:rPr>
          <w:rFonts w:ascii="宋体" w:hAnsi="宋体" w:cs="宋体"/>
          <w:b/>
          <w:szCs w:val="21"/>
          <w:highlight w:val="none"/>
        </w:rPr>
      </w:pPr>
      <w:r>
        <w:rPr>
          <w:rFonts w:hint="eastAsia" w:ascii="宋体" w:hAnsi="宋体"/>
          <w:b/>
          <w:bCs/>
          <w:highlight w:val="none"/>
        </w:rPr>
        <w:t>偏离</w:t>
      </w:r>
    </w:p>
    <w:p>
      <w:pPr>
        <w:numPr>
          <w:ilvl w:val="1"/>
          <w:numId w:val="1"/>
        </w:numPr>
        <w:spacing w:line="360" w:lineRule="auto"/>
        <w:outlineLvl w:val="2"/>
        <w:rPr>
          <w:highlight w:val="none"/>
        </w:rPr>
      </w:pPr>
      <w:r>
        <w:rPr>
          <w:rFonts w:hint="eastAsia"/>
          <w:highlight w:val="none"/>
        </w:rPr>
        <w:t>本项目不允许投标文件偏离招标文件某些要求。</w:t>
      </w:r>
    </w:p>
    <w:p>
      <w:pPr>
        <w:numPr>
          <w:ilvl w:val="0"/>
          <w:numId w:val="1"/>
        </w:numPr>
        <w:spacing w:line="360" w:lineRule="auto"/>
        <w:rPr>
          <w:rFonts w:ascii="宋体" w:hAnsi="宋体" w:cs="宋体"/>
          <w:b/>
          <w:szCs w:val="21"/>
          <w:highlight w:val="none"/>
        </w:rPr>
      </w:pPr>
      <w:r>
        <w:rPr>
          <w:rFonts w:hint="eastAsia" w:ascii="宋体" w:hAnsi="宋体" w:cs="宋体"/>
          <w:b/>
          <w:szCs w:val="21"/>
          <w:highlight w:val="none"/>
        </w:rPr>
        <w:t>招标文件</w:t>
      </w:r>
    </w:p>
    <w:p>
      <w:pPr>
        <w:numPr>
          <w:ilvl w:val="1"/>
          <w:numId w:val="1"/>
        </w:numPr>
        <w:spacing w:line="360" w:lineRule="auto"/>
        <w:outlineLvl w:val="2"/>
        <w:rPr>
          <w:b/>
          <w:bCs/>
          <w:highlight w:val="none"/>
        </w:rPr>
      </w:pPr>
      <w:r>
        <w:rPr>
          <w:rFonts w:hint="eastAsia"/>
          <w:b/>
          <w:bCs/>
          <w:highlight w:val="none"/>
        </w:rPr>
        <w:t>招标文件的组成</w:t>
      </w:r>
    </w:p>
    <w:p>
      <w:pPr>
        <w:keepNext/>
        <w:keepLines/>
        <w:spacing w:line="360" w:lineRule="auto"/>
        <w:ind w:firstLine="840" w:firstLineChars="400"/>
        <w:rPr>
          <w:rFonts w:ascii="宋体" w:hAnsi="宋体" w:cs="宋体"/>
          <w:bCs/>
          <w:szCs w:val="21"/>
          <w:highlight w:val="none"/>
        </w:rPr>
      </w:pPr>
      <w:r>
        <w:rPr>
          <w:rFonts w:hint="eastAsia" w:ascii="宋体" w:hAnsi="宋体" w:cs="宋体"/>
          <w:bCs/>
          <w:szCs w:val="21"/>
          <w:highlight w:val="none"/>
        </w:rPr>
        <w:t>本招标文件包括：</w:t>
      </w:r>
    </w:p>
    <w:p>
      <w:pPr>
        <w:keepNext/>
        <w:keepLines/>
        <w:spacing w:line="360" w:lineRule="auto"/>
        <w:ind w:firstLine="840" w:firstLineChars="400"/>
        <w:rPr>
          <w:rFonts w:ascii="宋体" w:hAnsi="宋体" w:cs="宋体"/>
          <w:bCs/>
          <w:szCs w:val="21"/>
          <w:highlight w:val="none"/>
        </w:rPr>
      </w:pPr>
      <w:r>
        <w:rPr>
          <w:rFonts w:hint="eastAsia" w:ascii="宋体" w:hAnsi="宋体" w:cs="宋体"/>
          <w:bCs/>
          <w:szCs w:val="21"/>
          <w:highlight w:val="none"/>
        </w:rPr>
        <w:t>（1）招标公告；</w:t>
      </w:r>
    </w:p>
    <w:p>
      <w:pPr>
        <w:keepNext/>
        <w:keepLines/>
        <w:spacing w:line="360" w:lineRule="auto"/>
        <w:ind w:firstLine="840" w:firstLineChars="400"/>
        <w:rPr>
          <w:rFonts w:ascii="宋体" w:hAnsi="宋体" w:cs="宋体"/>
          <w:bCs/>
          <w:szCs w:val="21"/>
          <w:highlight w:val="none"/>
        </w:rPr>
      </w:pPr>
      <w:r>
        <w:rPr>
          <w:rFonts w:hint="eastAsia" w:ascii="宋体" w:hAnsi="宋体" w:cs="宋体"/>
          <w:bCs/>
          <w:szCs w:val="21"/>
          <w:highlight w:val="none"/>
        </w:rPr>
        <w:t>（2）投标人须知；</w:t>
      </w:r>
    </w:p>
    <w:p>
      <w:pPr>
        <w:keepNext/>
        <w:keepLines/>
        <w:spacing w:line="360" w:lineRule="auto"/>
        <w:ind w:firstLine="840" w:firstLineChars="400"/>
        <w:rPr>
          <w:rFonts w:ascii="宋体" w:hAnsi="宋体" w:cs="宋体"/>
          <w:bCs/>
          <w:szCs w:val="21"/>
          <w:highlight w:val="none"/>
        </w:rPr>
      </w:pPr>
      <w:r>
        <w:rPr>
          <w:rFonts w:hint="eastAsia" w:ascii="宋体" w:hAnsi="宋体" w:cs="宋体"/>
          <w:bCs/>
          <w:szCs w:val="21"/>
          <w:highlight w:val="none"/>
        </w:rPr>
        <w:t>（3）用户需求书；</w:t>
      </w:r>
    </w:p>
    <w:p>
      <w:pPr>
        <w:keepNext/>
        <w:keepLines/>
        <w:spacing w:line="360" w:lineRule="auto"/>
        <w:ind w:firstLine="840" w:firstLineChars="400"/>
        <w:rPr>
          <w:rFonts w:ascii="宋体" w:hAnsi="宋体" w:cs="宋体"/>
          <w:bCs/>
          <w:szCs w:val="21"/>
          <w:highlight w:val="none"/>
        </w:rPr>
      </w:pPr>
      <w:r>
        <w:rPr>
          <w:rFonts w:hint="eastAsia" w:ascii="宋体" w:hAnsi="宋体" w:cs="宋体"/>
          <w:bCs/>
          <w:szCs w:val="21"/>
          <w:highlight w:val="none"/>
        </w:rPr>
        <w:t>（4）合同格式；</w:t>
      </w:r>
    </w:p>
    <w:p>
      <w:pPr>
        <w:keepNext/>
        <w:keepLines/>
        <w:spacing w:line="360" w:lineRule="auto"/>
        <w:ind w:firstLine="840" w:firstLineChars="400"/>
        <w:rPr>
          <w:rFonts w:ascii="宋体" w:hAnsi="宋体" w:cs="宋体"/>
          <w:bCs/>
          <w:szCs w:val="21"/>
          <w:highlight w:val="none"/>
        </w:rPr>
      </w:pPr>
      <w:r>
        <w:rPr>
          <w:rFonts w:hint="eastAsia" w:ascii="宋体" w:hAnsi="宋体" w:cs="宋体"/>
          <w:bCs/>
          <w:szCs w:val="21"/>
          <w:highlight w:val="none"/>
        </w:rPr>
        <w:t>（5）投标文件（格式）；</w:t>
      </w:r>
    </w:p>
    <w:p>
      <w:pPr>
        <w:keepNext/>
        <w:keepLines/>
        <w:spacing w:line="360" w:lineRule="auto"/>
        <w:ind w:firstLine="840" w:firstLineChars="400"/>
        <w:rPr>
          <w:rFonts w:ascii="宋体" w:hAnsi="宋体" w:cs="宋体"/>
          <w:bCs/>
          <w:szCs w:val="21"/>
          <w:highlight w:val="none"/>
        </w:rPr>
      </w:pPr>
      <w:r>
        <w:rPr>
          <w:rFonts w:hint="eastAsia" w:ascii="宋体" w:hAnsi="宋体" w:cs="宋体"/>
          <w:bCs/>
          <w:szCs w:val="21"/>
          <w:highlight w:val="none"/>
        </w:rPr>
        <w:t>根据本章第9.2款、第9.3款对招标文件所作的澄清、修改，构成招标文件的组成部分。</w:t>
      </w:r>
    </w:p>
    <w:p>
      <w:pPr>
        <w:numPr>
          <w:ilvl w:val="1"/>
          <w:numId w:val="1"/>
        </w:numPr>
        <w:spacing w:line="360" w:lineRule="auto"/>
        <w:outlineLvl w:val="2"/>
        <w:rPr>
          <w:b/>
          <w:bCs/>
          <w:highlight w:val="none"/>
        </w:rPr>
      </w:pPr>
      <w:r>
        <w:rPr>
          <w:rFonts w:hint="eastAsia"/>
          <w:b/>
          <w:bCs/>
          <w:highlight w:val="none"/>
        </w:rPr>
        <w:t>招标文件的澄清</w:t>
      </w:r>
    </w:p>
    <w:p>
      <w:pPr>
        <w:numPr>
          <w:ilvl w:val="2"/>
          <w:numId w:val="1"/>
        </w:numPr>
        <w:spacing w:line="360" w:lineRule="auto"/>
        <w:rPr>
          <w:highlight w:val="none"/>
        </w:rPr>
      </w:pPr>
      <w:r>
        <w:rPr>
          <w:rFonts w:hint="eastAsia" w:ascii="宋体" w:hAnsi="宋体"/>
          <w:highlight w:val="none"/>
        </w:rPr>
        <w:t>投标</w:t>
      </w:r>
      <w:r>
        <w:rPr>
          <w:rFonts w:hint="eastAsia"/>
          <w:highlight w:val="none"/>
        </w:rPr>
        <w:t>人应仔细阅读和检查招标文件的全部内容。如发现缺页或附件不全，应及时向招标人提出，以便补齐。如有疑问，可在距规定的投标截止时间18天前将问题以书面方式提交给招标人或招标代理机构，要求招标人对招标文件予以澄清。</w:t>
      </w:r>
    </w:p>
    <w:p>
      <w:pPr>
        <w:numPr>
          <w:ilvl w:val="2"/>
          <w:numId w:val="1"/>
        </w:numPr>
        <w:spacing w:line="360" w:lineRule="auto"/>
        <w:rPr>
          <w:highlight w:val="none"/>
        </w:rPr>
      </w:pPr>
      <w:r>
        <w:rPr>
          <w:rFonts w:hint="eastAsia"/>
          <w:highlight w:val="none"/>
        </w:rPr>
        <w:t>投标人可通过现场送达或发送邮件（邮箱：byjsht2020@163.com）提交问题。</w:t>
      </w:r>
    </w:p>
    <w:p>
      <w:pPr>
        <w:numPr>
          <w:ilvl w:val="2"/>
          <w:numId w:val="1"/>
        </w:numPr>
        <w:spacing w:line="360" w:lineRule="auto"/>
        <w:rPr>
          <w:highlight w:val="none"/>
        </w:rPr>
      </w:pPr>
      <w:r>
        <w:rPr>
          <w:rFonts w:hint="eastAsia"/>
          <w:highlight w:val="none"/>
        </w:rPr>
        <w:t>招标文件的澄清将通过邮件方式发给所有获取招标文件的投标人，但不指明澄清问题的来源。澄清发出的时间距规定的投标截止时间不足15天的，并且澄清内容影响投标文件编制的，将相应延长投标截止时间。</w:t>
      </w:r>
    </w:p>
    <w:p>
      <w:pPr>
        <w:numPr>
          <w:ilvl w:val="2"/>
          <w:numId w:val="1"/>
        </w:numPr>
        <w:spacing w:line="360" w:lineRule="auto"/>
        <w:rPr>
          <w:highlight w:val="none"/>
        </w:rPr>
      </w:pPr>
      <w:r>
        <w:rPr>
          <w:rFonts w:hint="eastAsia"/>
          <w:highlight w:val="none"/>
        </w:rPr>
        <w:t>招标文件澄清将通过邮件方式发布，</w:t>
      </w:r>
      <w:r>
        <w:rPr>
          <w:rFonts w:hint="eastAsia" w:ascii="宋体" w:hAnsi="宋体"/>
          <w:highlight w:val="none"/>
        </w:rPr>
        <w:t>发出</w:t>
      </w:r>
      <w:r>
        <w:rPr>
          <w:rFonts w:hint="eastAsia"/>
          <w:highlight w:val="none"/>
        </w:rPr>
        <w:t>即视</w:t>
      </w:r>
      <w:bookmarkStart w:id="145" w:name="_GoBack"/>
      <w:bookmarkEnd w:id="145"/>
      <w:r>
        <w:rPr>
          <w:rFonts w:hint="eastAsia"/>
          <w:highlight w:val="none"/>
        </w:rPr>
        <w:t>作收到，以邮件发送时间作为送达时间。无需投标人确认。投标人应自行关注，招标人不再另行通知。</w:t>
      </w:r>
    </w:p>
    <w:p>
      <w:pPr>
        <w:numPr>
          <w:ilvl w:val="1"/>
          <w:numId w:val="1"/>
        </w:numPr>
        <w:spacing w:line="360" w:lineRule="auto"/>
        <w:outlineLvl w:val="2"/>
        <w:rPr>
          <w:b/>
          <w:bCs/>
          <w:highlight w:val="none"/>
        </w:rPr>
      </w:pPr>
      <w:r>
        <w:rPr>
          <w:rFonts w:hint="eastAsia"/>
          <w:b/>
          <w:bCs/>
          <w:highlight w:val="none"/>
        </w:rPr>
        <w:t>招标文件的修改</w:t>
      </w:r>
    </w:p>
    <w:p>
      <w:pPr>
        <w:numPr>
          <w:ilvl w:val="2"/>
          <w:numId w:val="1"/>
        </w:numPr>
        <w:spacing w:line="360" w:lineRule="auto"/>
        <w:rPr>
          <w:highlight w:val="none"/>
        </w:rPr>
      </w:pPr>
      <w:r>
        <w:rPr>
          <w:rFonts w:hint="eastAsia"/>
          <w:highlight w:val="none"/>
        </w:rPr>
        <w:t>招标文件发出后,在提交投标文件截止时间15日前，招标人可对招标文件进行必要的澄清或修改。</w:t>
      </w:r>
    </w:p>
    <w:p>
      <w:pPr>
        <w:numPr>
          <w:ilvl w:val="2"/>
          <w:numId w:val="1"/>
        </w:numPr>
        <w:spacing w:line="360" w:lineRule="auto"/>
        <w:rPr>
          <w:highlight w:val="none"/>
        </w:rPr>
      </w:pPr>
      <w:r>
        <w:rPr>
          <w:rFonts w:hint="eastAsia"/>
          <w:highlight w:val="none"/>
        </w:rPr>
        <w:t>招标文件的澄清或修改在</w:t>
      </w:r>
      <w:r>
        <w:rPr>
          <w:rFonts w:hint="eastAsia" w:ascii="宋体" w:hAnsi="宋体"/>
          <w:szCs w:val="21"/>
          <w:highlight w:val="none"/>
        </w:rPr>
        <w:t>广州市白云城市开发投资集团有限公司官网</w:t>
      </w:r>
      <w:r>
        <w:rPr>
          <w:rFonts w:hint="eastAsia"/>
          <w:highlight w:val="none"/>
        </w:rPr>
        <w:t>发布。招标文件的澄清或修改一经</w:t>
      </w:r>
      <w:r>
        <w:rPr>
          <w:rFonts w:hint="eastAsia" w:ascii="宋体" w:hAnsi="宋体"/>
          <w:szCs w:val="21"/>
          <w:highlight w:val="none"/>
        </w:rPr>
        <w:t>在广州市白云城市开发投资集团有限公司官网</w:t>
      </w:r>
      <w:r>
        <w:rPr>
          <w:rFonts w:hint="eastAsia"/>
          <w:highlight w:val="none"/>
        </w:rPr>
        <w:t>发布，视作已发放给所有投标人，招标文件的澄清或修改内容作为招标文件的组成部分，具有约束作用。</w:t>
      </w:r>
    </w:p>
    <w:p>
      <w:pPr>
        <w:numPr>
          <w:ilvl w:val="2"/>
          <w:numId w:val="1"/>
        </w:numPr>
        <w:spacing w:line="360" w:lineRule="auto"/>
        <w:rPr>
          <w:highlight w:val="none"/>
        </w:rPr>
      </w:pPr>
      <w:r>
        <w:rPr>
          <w:rFonts w:hint="eastAsia"/>
          <w:highlight w:val="none"/>
        </w:rPr>
        <w:t>招标文件的澄清、修改均以</w:t>
      </w:r>
      <w:r>
        <w:rPr>
          <w:rFonts w:hint="eastAsia" w:ascii="宋体" w:hAnsi="宋体"/>
          <w:szCs w:val="21"/>
          <w:highlight w:val="none"/>
        </w:rPr>
        <w:t>在广州市白云城市开发投资集团有限公司官网</w:t>
      </w:r>
      <w:r>
        <w:rPr>
          <w:rFonts w:hint="eastAsia"/>
          <w:highlight w:val="none"/>
        </w:rPr>
        <w:t>发布的内容为准。当招标文件的澄清、修改在同一内容的表述不一致时，以</w:t>
      </w:r>
      <w:r>
        <w:rPr>
          <w:rFonts w:hint="eastAsia" w:ascii="宋体" w:hAnsi="宋体"/>
          <w:szCs w:val="21"/>
          <w:highlight w:val="none"/>
        </w:rPr>
        <w:t>在广州市白云城市开发投资集团有限公司官网</w:t>
      </w:r>
      <w:r>
        <w:rPr>
          <w:rFonts w:hint="eastAsia"/>
          <w:highlight w:val="none"/>
        </w:rPr>
        <w:t>最后发布的内容为准。</w:t>
      </w:r>
    </w:p>
    <w:p>
      <w:pPr>
        <w:numPr>
          <w:ilvl w:val="2"/>
          <w:numId w:val="1"/>
        </w:numPr>
        <w:spacing w:line="360" w:lineRule="auto"/>
        <w:rPr>
          <w:highlight w:val="none"/>
        </w:rPr>
      </w:pPr>
      <w:r>
        <w:rPr>
          <w:rFonts w:hint="eastAsia"/>
          <w:highlight w:val="none"/>
        </w:rPr>
        <w:t>为使投标人在编制投标文件时有充分的时间对招标文件的澄清、修改、补充等内容考虑进去，招标人将酌情延长提交投标文件的截止时间，具体时间将在招标文件的修改、补充通知中予以明确。若通知中没有明确延长时间，即表示投标时间不延长。</w:t>
      </w:r>
    </w:p>
    <w:p>
      <w:pPr>
        <w:pStyle w:val="14"/>
        <w:rPr>
          <w:highlight w:val="none"/>
        </w:rPr>
      </w:pPr>
    </w:p>
    <w:p>
      <w:pPr>
        <w:numPr>
          <w:ilvl w:val="0"/>
          <w:numId w:val="1"/>
        </w:numPr>
        <w:spacing w:line="360" w:lineRule="auto"/>
        <w:rPr>
          <w:rFonts w:ascii="宋体" w:hAnsi="宋体" w:cs="宋体"/>
          <w:b/>
          <w:szCs w:val="21"/>
          <w:highlight w:val="none"/>
        </w:rPr>
      </w:pPr>
      <w:r>
        <w:rPr>
          <w:rFonts w:hint="eastAsia" w:ascii="宋体" w:hAnsi="宋体"/>
          <w:b/>
          <w:bCs/>
          <w:highlight w:val="none"/>
        </w:rPr>
        <w:t>投标</w:t>
      </w:r>
      <w:r>
        <w:rPr>
          <w:rFonts w:hint="eastAsia" w:ascii="宋体" w:hAnsi="宋体" w:cs="宋体"/>
          <w:b/>
          <w:szCs w:val="21"/>
          <w:highlight w:val="none"/>
        </w:rPr>
        <w:t>文件</w:t>
      </w:r>
    </w:p>
    <w:p>
      <w:pPr>
        <w:numPr>
          <w:ilvl w:val="1"/>
          <w:numId w:val="1"/>
        </w:numPr>
        <w:spacing w:line="360" w:lineRule="auto"/>
        <w:outlineLvl w:val="2"/>
        <w:rPr>
          <w:b/>
          <w:bCs/>
          <w:highlight w:val="none"/>
        </w:rPr>
      </w:pPr>
      <w:r>
        <w:rPr>
          <w:b/>
          <w:bCs/>
          <w:highlight w:val="none"/>
        </w:rPr>
        <w:t>投标文件的组成</w:t>
      </w:r>
    </w:p>
    <w:p>
      <w:pPr>
        <w:numPr>
          <w:ilvl w:val="2"/>
          <w:numId w:val="1"/>
        </w:numPr>
        <w:spacing w:line="360" w:lineRule="auto"/>
        <w:rPr>
          <w:highlight w:val="none"/>
        </w:rPr>
      </w:pPr>
      <w:r>
        <w:rPr>
          <w:rFonts w:hint="eastAsia"/>
          <w:highlight w:val="none"/>
        </w:rPr>
        <w:t>投标文件由开标信封、投标文件两部分组成。</w:t>
      </w:r>
    </w:p>
    <w:p>
      <w:pPr>
        <w:spacing w:line="360" w:lineRule="auto"/>
        <w:ind w:firstLine="422" w:firstLineChars="200"/>
        <w:rPr>
          <w:b/>
          <w:bCs/>
          <w:highlight w:val="none"/>
        </w:rPr>
      </w:pPr>
      <w:r>
        <w:rPr>
          <w:rFonts w:hint="eastAsia"/>
          <w:b/>
          <w:bCs/>
          <w:highlight w:val="none"/>
        </w:rPr>
        <w:t>一、开标信封：</w:t>
      </w:r>
    </w:p>
    <w:p>
      <w:pPr>
        <w:numPr>
          <w:ilvl w:val="0"/>
          <w:numId w:val="2"/>
        </w:numPr>
        <w:spacing w:line="360" w:lineRule="auto"/>
        <w:rPr>
          <w:highlight w:val="none"/>
        </w:rPr>
      </w:pPr>
      <w:r>
        <w:rPr>
          <w:rFonts w:hint="eastAsia"/>
          <w:highlight w:val="none"/>
        </w:rPr>
        <w:t>开标一览表</w:t>
      </w:r>
    </w:p>
    <w:p>
      <w:pPr>
        <w:numPr>
          <w:ilvl w:val="0"/>
          <w:numId w:val="2"/>
        </w:numPr>
        <w:spacing w:line="360" w:lineRule="auto"/>
        <w:rPr>
          <w:highlight w:val="none"/>
        </w:rPr>
      </w:pPr>
      <w:r>
        <w:rPr>
          <w:rFonts w:hint="eastAsia"/>
          <w:highlight w:val="none"/>
        </w:rPr>
        <w:t>法定代表人（负责人）证明书</w:t>
      </w:r>
    </w:p>
    <w:p>
      <w:pPr>
        <w:pStyle w:val="14"/>
        <w:numPr>
          <w:ilvl w:val="0"/>
          <w:numId w:val="2"/>
        </w:numPr>
        <w:spacing w:line="360" w:lineRule="auto"/>
        <w:rPr>
          <w:highlight w:val="none"/>
        </w:rPr>
      </w:pPr>
      <w:r>
        <w:rPr>
          <w:highlight w:val="none"/>
        </w:rPr>
        <w:t>法定代表人（负责人）授权委托证明书</w:t>
      </w:r>
    </w:p>
    <w:p>
      <w:pPr>
        <w:pStyle w:val="14"/>
        <w:spacing w:line="360" w:lineRule="auto"/>
        <w:ind w:firstLine="422" w:firstLineChars="200"/>
        <w:rPr>
          <w:b/>
          <w:bCs/>
          <w:highlight w:val="none"/>
        </w:rPr>
      </w:pPr>
      <w:r>
        <w:rPr>
          <w:rFonts w:hint="eastAsia"/>
          <w:b/>
          <w:bCs/>
          <w:highlight w:val="none"/>
        </w:rPr>
        <w:t>二、投标文件：</w:t>
      </w:r>
    </w:p>
    <w:p>
      <w:pPr>
        <w:numPr>
          <w:ilvl w:val="0"/>
          <w:numId w:val="3"/>
        </w:numPr>
        <w:spacing w:line="360" w:lineRule="auto"/>
        <w:rPr>
          <w:highlight w:val="none"/>
        </w:rPr>
      </w:pPr>
      <w:r>
        <w:rPr>
          <w:rFonts w:hint="eastAsia"/>
          <w:highlight w:val="none"/>
        </w:rPr>
        <w:t>投标函</w:t>
      </w:r>
    </w:p>
    <w:p>
      <w:pPr>
        <w:numPr>
          <w:ilvl w:val="0"/>
          <w:numId w:val="3"/>
        </w:numPr>
        <w:spacing w:line="360" w:lineRule="auto"/>
        <w:rPr>
          <w:highlight w:val="none"/>
        </w:rPr>
      </w:pPr>
      <w:r>
        <w:rPr>
          <w:rFonts w:hint="eastAsia"/>
          <w:highlight w:val="none"/>
        </w:rPr>
        <w:t>开标一览表</w:t>
      </w:r>
    </w:p>
    <w:p>
      <w:pPr>
        <w:numPr>
          <w:ilvl w:val="0"/>
          <w:numId w:val="3"/>
        </w:numPr>
        <w:spacing w:line="360" w:lineRule="auto"/>
        <w:rPr>
          <w:highlight w:val="none"/>
        </w:rPr>
      </w:pPr>
      <w:r>
        <w:rPr>
          <w:highlight w:val="none"/>
        </w:rPr>
        <w:t>法定代表人（负责人）证明书</w:t>
      </w:r>
    </w:p>
    <w:p>
      <w:pPr>
        <w:numPr>
          <w:ilvl w:val="0"/>
          <w:numId w:val="3"/>
        </w:numPr>
        <w:spacing w:line="360" w:lineRule="auto"/>
        <w:rPr>
          <w:highlight w:val="none"/>
        </w:rPr>
      </w:pPr>
      <w:r>
        <w:rPr>
          <w:highlight w:val="none"/>
        </w:rPr>
        <w:t>法定代表人（负责人）授权委托证明书</w:t>
      </w:r>
    </w:p>
    <w:p>
      <w:pPr>
        <w:numPr>
          <w:ilvl w:val="0"/>
          <w:numId w:val="3"/>
        </w:numPr>
        <w:spacing w:line="360" w:lineRule="auto"/>
        <w:rPr>
          <w:rFonts w:hAnsi="宋体"/>
          <w:bCs/>
          <w:highlight w:val="none"/>
        </w:rPr>
      </w:pPr>
      <w:r>
        <w:rPr>
          <w:rFonts w:hint="eastAsia"/>
          <w:highlight w:val="none"/>
        </w:rPr>
        <w:t>承诺函</w:t>
      </w:r>
    </w:p>
    <w:p>
      <w:pPr>
        <w:numPr>
          <w:ilvl w:val="0"/>
          <w:numId w:val="3"/>
        </w:numPr>
        <w:spacing w:line="360" w:lineRule="auto"/>
        <w:rPr>
          <w:highlight w:val="none"/>
        </w:rPr>
      </w:pPr>
      <w:r>
        <w:rPr>
          <w:rFonts w:hint="eastAsia"/>
          <w:highlight w:val="none"/>
        </w:rPr>
        <w:t>按招标公告“二、投标人资格要求”提供其他资料</w:t>
      </w:r>
    </w:p>
    <w:p>
      <w:pPr>
        <w:numPr>
          <w:ilvl w:val="0"/>
          <w:numId w:val="3"/>
        </w:numPr>
        <w:spacing w:line="360" w:lineRule="auto"/>
        <w:rPr>
          <w:highlight w:val="none"/>
        </w:rPr>
      </w:pPr>
      <w:r>
        <w:rPr>
          <w:rFonts w:hint="eastAsia"/>
          <w:highlight w:val="none"/>
        </w:rPr>
        <w:t>招标需求响应偏离表</w:t>
      </w:r>
    </w:p>
    <w:p>
      <w:pPr>
        <w:numPr>
          <w:ilvl w:val="0"/>
          <w:numId w:val="3"/>
        </w:numPr>
        <w:spacing w:line="360" w:lineRule="auto"/>
        <w:rPr>
          <w:highlight w:val="none"/>
        </w:rPr>
      </w:pPr>
      <w:r>
        <w:rPr>
          <w:rFonts w:hint="eastAsia"/>
          <w:highlight w:val="none"/>
        </w:rPr>
        <w:t>对合同条款的响应情况</w:t>
      </w:r>
    </w:p>
    <w:p>
      <w:pPr>
        <w:numPr>
          <w:ilvl w:val="0"/>
          <w:numId w:val="3"/>
        </w:numPr>
        <w:spacing w:line="360" w:lineRule="auto"/>
        <w:rPr>
          <w:rFonts w:ascii="宋体" w:hAnsi="宋体" w:cs="宋体"/>
          <w:szCs w:val="21"/>
          <w:highlight w:val="none"/>
        </w:rPr>
      </w:pPr>
      <w:r>
        <w:rPr>
          <w:rFonts w:hint="eastAsia" w:ascii="宋体" w:hAnsi="宋体" w:cs="宋体"/>
          <w:highlight w:val="none"/>
        </w:rPr>
        <w:t>拟投入本项目人员一览表</w:t>
      </w:r>
    </w:p>
    <w:p>
      <w:pPr>
        <w:numPr>
          <w:ilvl w:val="0"/>
          <w:numId w:val="3"/>
        </w:numPr>
        <w:spacing w:line="360" w:lineRule="auto"/>
        <w:rPr>
          <w:rFonts w:ascii="宋体" w:hAnsi="宋体" w:cs="宋体"/>
          <w:highlight w:val="none"/>
        </w:rPr>
      </w:pPr>
      <w:r>
        <w:rPr>
          <w:rFonts w:hint="eastAsia" w:ascii="宋体" w:hAnsi="宋体" w:cs="宋体"/>
          <w:highlight w:val="none"/>
        </w:rPr>
        <w:t>投标人认为应该提供的其他资料</w:t>
      </w:r>
    </w:p>
    <w:p>
      <w:pPr>
        <w:numPr>
          <w:ilvl w:val="0"/>
          <w:numId w:val="3"/>
        </w:numPr>
        <w:spacing w:line="360" w:lineRule="auto"/>
        <w:rPr>
          <w:rFonts w:ascii="宋体" w:hAnsi="宋体" w:cs="宋体"/>
          <w:highlight w:val="none"/>
        </w:rPr>
      </w:pPr>
      <w:r>
        <w:rPr>
          <w:rFonts w:hint="eastAsia" w:ascii="宋体" w:hAnsi="宋体" w:cs="宋体"/>
          <w:highlight w:val="none"/>
        </w:rPr>
        <w:t>投标报价书</w:t>
      </w:r>
    </w:p>
    <w:p>
      <w:pPr>
        <w:numPr>
          <w:ilvl w:val="0"/>
          <w:numId w:val="3"/>
        </w:numPr>
        <w:spacing w:line="360" w:lineRule="auto"/>
        <w:rPr>
          <w:rFonts w:ascii="宋体" w:hAnsi="宋体" w:cs="宋体"/>
          <w:highlight w:val="none"/>
        </w:rPr>
      </w:pPr>
      <w:r>
        <w:rPr>
          <w:rFonts w:hint="eastAsia" w:ascii="宋体" w:hAnsi="宋体" w:cs="宋体"/>
          <w:highlight w:val="none"/>
        </w:rPr>
        <w:t>投标人认为应该提供的其他资料</w:t>
      </w:r>
    </w:p>
    <w:p>
      <w:pPr>
        <w:numPr>
          <w:ilvl w:val="1"/>
          <w:numId w:val="1"/>
        </w:numPr>
        <w:spacing w:line="360" w:lineRule="auto"/>
        <w:outlineLvl w:val="2"/>
        <w:rPr>
          <w:b/>
          <w:bCs/>
          <w:highlight w:val="none"/>
        </w:rPr>
      </w:pPr>
      <w:r>
        <w:rPr>
          <w:rFonts w:hint="eastAsia"/>
          <w:b/>
          <w:bCs/>
          <w:highlight w:val="none"/>
        </w:rPr>
        <w:t>投标报价</w:t>
      </w:r>
    </w:p>
    <w:p>
      <w:pPr>
        <w:numPr>
          <w:ilvl w:val="2"/>
          <w:numId w:val="1"/>
        </w:numPr>
        <w:spacing w:line="360" w:lineRule="auto"/>
        <w:rPr>
          <w:highlight w:val="none"/>
        </w:rPr>
      </w:pPr>
      <w:r>
        <w:rPr>
          <w:rFonts w:hint="eastAsia"/>
          <w:highlight w:val="none"/>
        </w:rPr>
        <w:t>投标人须认真研究本招标文件，以明确提供报价的具体内容。</w:t>
      </w:r>
    </w:p>
    <w:p>
      <w:pPr>
        <w:numPr>
          <w:ilvl w:val="2"/>
          <w:numId w:val="1"/>
        </w:numPr>
        <w:spacing w:line="360" w:lineRule="auto"/>
        <w:rPr>
          <w:highlight w:val="none"/>
        </w:rPr>
      </w:pPr>
      <w:r>
        <w:rPr>
          <w:rFonts w:hint="eastAsia"/>
          <w:highlight w:val="none"/>
        </w:rPr>
        <w:t>投标人按照要求报出：</w:t>
      </w:r>
      <w:r>
        <w:rPr>
          <w:rFonts w:hint="eastAsia"/>
          <w:b/>
          <w:bCs/>
          <w:highlight w:val="none"/>
        </w:rPr>
        <w:t>投标总报价、分项报价表中的各分项报价</w:t>
      </w:r>
      <w:r>
        <w:rPr>
          <w:rFonts w:hint="eastAsia"/>
          <w:highlight w:val="none"/>
        </w:rPr>
        <w:t>。</w:t>
      </w:r>
    </w:p>
    <w:p>
      <w:pPr>
        <w:numPr>
          <w:ilvl w:val="2"/>
          <w:numId w:val="1"/>
        </w:numPr>
        <w:spacing w:line="360" w:lineRule="auto"/>
        <w:rPr>
          <w:highlight w:val="none"/>
        </w:rPr>
      </w:pPr>
      <w:r>
        <w:rPr>
          <w:rFonts w:hint="eastAsia"/>
          <w:b/>
          <w:bCs/>
          <w:highlight w:val="none"/>
        </w:rPr>
        <w:t>最高投标限价：</w:t>
      </w:r>
      <w:r>
        <w:rPr>
          <w:rFonts w:hint="eastAsia"/>
          <w:b/>
          <w:bCs/>
          <w:highlight w:val="none"/>
        </w:rPr>
        <w:t>人民币</w:t>
      </w:r>
      <w:r>
        <w:rPr>
          <w:rFonts w:hint="eastAsia" w:ascii="宋体" w:hAnsi="宋体" w:eastAsia="宋体" w:cs="宋体"/>
          <w:b/>
          <w:bCs/>
          <w:highlight w:val="none"/>
          <w:u w:val="single"/>
        </w:rPr>
        <w:t>9346089</w:t>
      </w:r>
      <w:r>
        <w:rPr>
          <w:rFonts w:hint="eastAsia" w:ascii="宋体" w:hAnsi="宋体" w:eastAsia="宋体" w:cs="宋体"/>
          <w:b/>
          <w:bCs/>
          <w:highlight w:val="none"/>
          <w:u w:val="single"/>
          <w:lang w:val="en-US" w:eastAsia="zh-CN"/>
        </w:rPr>
        <w:t>.00</w:t>
      </w:r>
      <w:r>
        <w:rPr>
          <w:rFonts w:hint="eastAsia"/>
          <w:b/>
          <w:bCs/>
          <w:highlight w:val="none"/>
        </w:rPr>
        <w:t>元。</w:t>
      </w:r>
    </w:p>
    <w:p>
      <w:pPr>
        <w:numPr>
          <w:ilvl w:val="1"/>
          <w:numId w:val="1"/>
        </w:numPr>
        <w:spacing w:line="360" w:lineRule="auto"/>
        <w:outlineLvl w:val="2"/>
        <w:rPr>
          <w:b/>
          <w:bCs/>
          <w:highlight w:val="none"/>
        </w:rPr>
      </w:pPr>
      <w:r>
        <w:rPr>
          <w:rFonts w:hint="eastAsia"/>
          <w:b/>
          <w:bCs/>
          <w:highlight w:val="none"/>
        </w:rPr>
        <w:t>投标有效期</w:t>
      </w:r>
    </w:p>
    <w:p>
      <w:pPr>
        <w:numPr>
          <w:ilvl w:val="2"/>
          <w:numId w:val="1"/>
        </w:numPr>
        <w:spacing w:line="360" w:lineRule="auto"/>
        <w:rPr>
          <w:highlight w:val="none"/>
        </w:rPr>
      </w:pPr>
      <w:r>
        <w:rPr>
          <w:rFonts w:hint="eastAsia"/>
          <w:highlight w:val="none"/>
        </w:rPr>
        <w:t>投标有效期为90天。</w:t>
      </w:r>
    </w:p>
    <w:p>
      <w:pPr>
        <w:numPr>
          <w:ilvl w:val="2"/>
          <w:numId w:val="1"/>
        </w:numPr>
        <w:spacing w:line="360" w:lineRule="auto"/>
        <w:rPr>
          <w:rFonts w:ascii="宋体" w:hAnsi="宋体" w:cs="宋体"/>
          <w:highlight w:val="none"/>
        </w:rPr>
      </w:pPr>
      <w:r>
        <w:rPr>
          <w:rFonts w:hint="eastAsia"/>
          <w:highlight w:val="none"/>
        </w:rPr>
        <w:t>在投标有效期内，投标人撤销或修改其投标文件的，应承担招</w:t>
      </w:r>
      <w:r>
        <w:rPr>
          <w:rFonts w:hint="eastAsia" w:ascii="宋体" w:hAnsi="宋体" w:cs="宋体"/>
          <w:highlight w:val="none"/>
        </w:rPr>
        <w:t>标文件和法律规定的责任。</w:t>
      </w:r>
    </w:p>
    <w:p>
      <w:pPr>
        <w:numPr>
          <w:ilvl w:val="2"/>
          <w:numId w:val="1"/>
        </w:numPr>
        <w:spacing w:line="360" w:lineRule="auto"/>
        <w:rPr>
          <w:highlight w:val="none"/>
        </w:rPr>
      </w:pPr>
      <w:r>
        <w:rPr>
          <w:rFonts w:hint="eastAsia" w:ascii="宋体" w:hAnsi="宋体" w:cs="宋体"/>
          <w:highlight w:val="none"/>
        </w:rPr>
        <w:t xml:space="preserve">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 </w:t>
      </w:r>
    </w:p>
    <w:p>
      <w:pPr>
        <w:numPr>
          <w:ilvl w:val="1"/>
          <w:numId w:val="1"/>
        </w:numPr>
        <w:spacing w:line="360" w:lineRule="auto"/>
        <w:outlineLvl w:val="2"/>
        <w:rPr>
          <w:b/>
          <w:bCs/>
          <w:highlight w:val="none"/>
        </w:rPr>
      </w:pPr>
      <w:r>
        <w:rPr>
          <w:rFonts w:hint="eastAsia"/>
          <w:b/>
          <w:bCs/>
          <w:highlight w:val="none"/>
        </w:rPr>
        <w:t>投标保证金</w:t>
      </w:r>
    </w:p>
    <w:p>
      <w:pPr>
        <w:numPr>
          <w:ilvl w:val="2"/>
          <w:numId w:val="1"/>
        </w:numPr>
        <w:spacing w:line="360" w:lineRule="auto"/>
        <w:rPr>
          <w:highlight w:val="none"/>
        </w:rPr>
      </w:pPr>
      <w:r>
        <w:rPr>
          <w:rFonts w:hint="eastAsia"/>
          <w:highlight w:val="none"/>
        </w:rPr>
        <w:t>本项目不要求递交投标保证金。</w:t>
      </w:r>
    </w:p>
    <w:p>
      <w:pPr>
        <w:numPr>
          <w:ilvl w:val="1"/>
          <w:numId w:val="1"/>
        </w:numPr>
        <w:spacing w:line="360" w:lineRule="auto"/>
        <w:outlineLvl w:val="2"/>
        <w:rPr>
          <w:b/>
          <w:bCs/>
          <w:highlight w:val="none"/>
        </w:rPr>
      </w:pPr>
      <w:r>
        <w:rPr>
          <w:rFonts w:hint="eastAsia"/>
          <w:b/>
          <w:bCs/>
          <w:highlight w:val="none"/>
        </w:rPr>
        <w:t>资格审查资料</w:t>
      </w:r>
    </w:p>
    <w:p>
      <w:pPr>
        <w:numPr>
          <w:ilvl w:val="2"/>
          <w:numId w:val="1"/>
        </w:numPr>
        <w:spacing w:line="360" w:lineRule="auto"/>
        <w:rPr>
          <w:highlight w:val="none"/>
        </w:rPr>
      </w:pPr>
      <w:r>
        <w:rPr>
          <w:rFonts w:hint="eastAsia"/>
          <w:highlight w:val="none"/>
        </w:rPr>
        <w:t>本项目采用资格后审，由评标委员会负责对投标人的资格进行审查，评标时只对通过资格审查的投标人进行下一阶段的评审。</w:t>
      </w:r>
    </w:p>
    <w:p>
      <w:pPr>
        <w:numPr>
          <w:ilvl w:val="2"/>
          <w:numId w:val="1"/>
        </w:numPr>
        <w:spacing w:line="360" w:lineRule="auto"/>
        <w:rPr>
          <w:b/>
          <w:bCs/>
          <w:highlight w:val="none"/>
        </w:rPr>
      </w:pPr>
      <w:r>
        <w:rPr>
          <w:rFonts w:hint="eastAsia"/>
          <w:b/>
          <w:bCs/>
          <w:highlight w:val="none"/>
        </w:rPr>
        <w:t>资审合格后，投标人的资格发生变化而不满足投标人合格条件，在发出中标通知书前，资格问题仍未解决的，招标人将取消其中标资格。</w:t>
      </w:r>
    </w:p>
    <w:p>
      <w:pPr>
        <w:numPr>
          <w:ilvl w:val="1"/>
          <w:numId w:val="1"/>
        </w:numPr>
        <w:spacing w:line="360" w:lineRule="auto"/>
        <w:outlineLvl w:val="2"/>
        <w:rPr>
          <w:b/>
          <w:bCs/>
          <w:highlight w:val="none"/>
        </w:rPr>
      </w:pPr>
      <w:r>
        <w:rPr>
          <w:rFonts w:hint="eastAsia"/>
          <w:b/>
          <w:bCs/>
          <w:highlight w:val="none"/>
        </w:rPr>
        <w:t>备选投标方案</w:t>
      </w:r>
    </w:p>
    <w:p>
      <w:pPr>
        <w:numPr>
          <w:ilvl w:val="2"/>
          <w:numId w:val="1"/>
        </w:numPr>
        <w:spacing w:line="360" w:lineRule="auto"/>
        <w:rPr>
          <w:highlight w:val="none"/>
        </w:rPr>
      </w:pPr>
      <w:r>
        <w:rPr>
          <w:rFonts w:hint="eastAsia"/>
          <w:highlight w:val="none"/>
        </w:rPr>
        <w:t>投标人不得递交备选投标方案。</w:t>
      </w:r>
    </w:p>
    <w:p>
      <w:pPr>
        <w:numPr>
          <w:ilvl w:val="1"/>
          <w:numId w:val="1"/>
        </w:numPr>
        <w:spacing w:line="360" w:lineRule="auto"/>
        <w:outlineLvl w:val="2"/>
        <w:rPr>
          <w:b/>
          <w:bCs/>
          <w:highlight w:val="none"/>
        </w:rPr>
      </w:pPr>
      <w:r>
        <w:rPr>
          <w:rFonts w:hint="eastAsia"/>
          <w:b/>
          <w:bCs/>
          <w:highlight w:val="none"/>
        </w:rPr>
        <w:t>投标文件的编制及份数</w:t>
      </w:r>
    </w:p>
    <w:p>
      <w:pPr>
        <w:numPr>
          <w:ilvl w:val="2"/>
          <w:numId w:val="1"/>
        </w:numPr>
        <w:spacing w:line="360" w:lineRule="auto"/>
        <w:rPr>
          <w:highlight w:val="none"/>
        </w:rPr>
      </w:pPr>
      <w:r>
        <w:rPr>
          <w:rFonts w:hint="eastAsia"/>
          <w:highlight w:val="none"/>
        </w:rPr>
        <w:t>投标文件应按采用不褪色的材料书写或打印，投标文件应尽量避免涂改、行间插字或删除。如果出现上述情况，改动之处应加盖单位公章或由投标人的法定代表人或其授权的代理人签字或盖章确认。所有投标文件（除特殊规格的图纸等外）应按A4规格制作。</w:t>
      </w:r>
    </w:p>
    <w:p>
      <w:pPr>
        <w:numPr>
          <w:ilvl w:val="2"/>
          <w:numId w:val="1"/>
        </w:numPr>
        <w:spacing w:line="360" w:lineRule="auto"/>
        <w:rPr>
          <w:highlight w:val="none"/>
        </w:rPr>
      </w:pPr>
      <w:r>
        <w:rPr>
          <w:rFonts w:hint="eastAsia"/>
          <w:highlight w:val="none"/>
        </w:rPr>
        <w:t>投标文件应按第五章“投标文件（格式）”进行编写，如有必要，可以增加附页，作为投标文件的组成部分。在满足招标文件实质性要求的基础上，可以提出比招标文件要求更有利于招标人的承诺。</w:t>
      </w:r>
    </w:p>
    <w:p>
      <w:pPr>
        <w:numPr>
          <w:ilvl w:val="2"/>
          <w:numId w:val="1"/>
        </w:numPr>
        <w:spacing w:line="360" w:lineRule="auto"/>
        <w:rPr>
          <w:highlight w:val="none"/>
        </w:rPr>
      </w:pPr>
      <w:r>
        <w:rPr>
          <w:rFonts w:hint="eastAsia"/>
          <w:highlight w:val="none"/>
        </w:rPr>
        <w:t>投标文件应当对招标文件有关招标范围、投标有效期、用户需求书等实质性内容作出响应。</w:t>
      </w:r>
    </w:p>
    <w:p>
      <w:pPr>
        <w:numPr>
          <w:ilvl w:val="2"/>
          <w:numId w:val="1"/>
        </w:numPr>
        <w:spacing w:line="360" w:lineRule="auto"/>
        <w:rPr>
          <w:b/>
          <w:bCs/>
          <w:highlight w:val="none"/>
        </w:rPr>
      </w:pPr>
      <w:r>
        <w:rPr>
          <w:rFonts w:hint="eastAsia"/>
          <w:b/>
          <w:bCs/>
          <w:highlight w:val="none"/>
        </w:rPr>
        <w:t>投标文件数量：正本1份，副本4份，PDF格式、WORD格式电子文档各1份（电子文件要求U盘或刻录光盘，不留密码，无病毒，不压缩，与投标文件正本一起密封提交）。</w:t>
      </w:r>
    </w:p>
    <w:p>
      <w:pPr>
        <w:numPr>
          <w:ilvl w:val="2"/>
          <w:numId w:val="1"/>
        </w:numPr>
        <w:spacing w:line="360" w:lineRule="auto"/>
        <w:rPr>
          <w:b/>
          <w:bCs/>
          <w:highlight w:val="none"/>
        </w:rPr>
      </w:pPr>
      <w:r>
        <w:rPr>
          <w:rFonts w:hint="eastAsia"/>
          <w:b/>
          <w:bCs/>
          <w:highlight w:val="none"/>
        </w:rPr>
        <w:t>正本和副本的封面上应清楚地标记“正本”或“副本”的字样。当副本和正本不一致时，以正本为准。副本可为正本的复印件（并加盖骑缝章及封面公章）。</w:t>
      </w:r>
    </w:p>
    <w:p>
      <w:pPr>
        <w:numPr>
          <w:ilvl w:val="2"/>
          <w:numId w:val="1"/>
        </w:numPr>
        <w:spacing w:line="360" w:lineRule="auto"/>
        <w:rPr>
          <w:highlight w:val="none"/>
        </w:rPr>
      </w:pPr>
      <w:r>
        <w:rPr>
          <w:rFonts w:hint="eastAsia"/>
          <w:highlight w:val="none"/>
        </w:rPr>
        <w:t>投标文件的正本与副本应分别装订成册，各册独立装订的投标文件均采用不易松散的书式装订，如因装订不牢固导致的任何损失由投标人承担。</w:t>
      </w:r>
    </w:p>
    <w:p>
      <w:pPr>
        <w:numPr>
          <w:ilvl w:val="2"/>
          <w:numId w:val="1"/>
        </w:numPr>
        <w:spacing w:line="360" w:lineRule="auto"/>
        <w:rPr>
          <w:highlight w:val="none"/>
        </w:rPr>
      </w:pPr>
      <w:r>
        <w:rPr>
          <w:rFonts w:hint="eastAsia"/>
          <w:highlight w:val="none"/>
        </w:rPr>
        <w:t>投标文件的所有证明材料复印件及招标文件所附格式要求盖章处需加盖公章，在招标文件所附格式规定签名位置由法定代表人或其委托代理人签名，其余可不加盖公章或签名。</w:t>
      </w:r>
    </w:p>
    <w:p>
      <w:pPr>
        <w:numPr>
          <w:ilvl w:val="0"/>
          <w:numId w:val="1"/>
        </w:numPr>
        <w:spacing w:line="360" w:lineRule="auto"/>
        <w:rPr>
          <w:b/>
          <w:bCs/>
          <w:highlight w:val="none"/>
        </w:rPr>
      </w:pPr>
      <w:r>
        <w:rPr>
          <w:rFonts w:hint="eastAsia" w:ascii="宋体" w:hAnsi="宋体"/>
          <w:b/>
          <w:bCs/>
          <w:highlight w:val="none"/>
        </w:rPr>
        <w:t>投标</w:t>
      </w:r>
    </w:p>
    <w:p>
      <w:pPr>
        <w:numPr>
          <w:ilvl w:val="1"/>
          <w:numId w:val="1"/>
        </w:numPr>
        <w:spacing w:line="360" w:lineRule="auto"/>
        <w:outlineLvl w:val="2"/>
        <w:rPr>
          <w:b/>
          <w:bCs/>
          <w:highlight w:val="none"/>
        </w:rPr>
      </w:pPr>
      <w:r>
        <w:rPr>
          <w:rFonts w:hint="eastAsia"/>
          <w:b/>
          <w:bCs/>
          <w:highlight w:val="none"/>
        </w:rPr>
        <w:t>投标文件的密封和标记</w:t>
      </w:r>
    </w:p>
    <w:p>
      <w:pPr>
        <w:numPr>
          <w:ilvl w:val="2"/>
          <w:numId w:val="1"/>
        </w:numPr>
        <w:spacing w:line="360" w:lineRule="auto"/>
        <w:jc w:val="left"/>
        <w:rPr>
          <w:highlight w:val="none"/>
        </w:rPr>
      </w:pPr>
      <w:r>
        <w:rPr>
          <w:rFonts w:hint="eastAsia"/>
          <w:highlight w:val="none"/>
        </w:rPr>
        <w:t>包封要求：开标信封单独封装，正本单独封装，副本全部一起封装，电子文件与正本一起单独封装。封套表面标明“正本”或“副本”或“开标信封”字样，投标人应在封口处加盖公章或由法定代表人签字或委托代理人签字，在每个封套上按以下顺序标明如下字样：</w:t>
      </w:r>
      <w:r>
        <w:rPr>
          <w:sz w:val="32"/>
          <w:highlight w:val="none"/>
        </w:rPr>
        <mc:AlternateContent>
          <mc:Choice Requires="wps">
            <w:drawing>
              <wp:inline distT="0" distB="0" distL="114300" distR="114300">
                <wp:extent cx="5457825" cy="2113280"/>
                <wp:effectExtent l="4445" t="4445" r="5080" b="15875"/>
                <wp:docPr id="1" name="矩形 34"/>
                <wp:cNvGraphicFramePr/>
                <a:graphic xmlns:a="http://schemas.openxmlformats.org/drawingml/2006/main">
                  <a:graphicData uri="http://schemas.microsoft.com/office/word/2010/wordprocessingShape">
                    <wps:wsp>
                      <wps:cNvSpPr>
                        <a:spLocks noRot="1"/>
                      </wps:cNvSpPr>
                      <wps:spPr>
                        <a:xfrm>
                          <a:off x="0" y="0"/>
                          <a:ext cx="5457825" cy="21132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宋体" w:hAnsi="宋体" w:cs="宋体"/>
                              </w:rPr>
                            </w:pPr>
                            <w:r>
                              <w:rPr>
                                <w:rFonts w:hint="eastAsia" w:ascii="宋体" w:hAnsi="宋体" w:cs="宋体"/>
                              </w:rPr>
                              <w:t>招标人：广州设计之都投资运营有限公司酒店管理分公司</w:t>
                            </w:r>
                          </w:p>
                          <w:p>
                            <w:pPr>
                              <w:rPr>
                                <w:rFonts w:ascii="宋体" w:hAnsi="宋体" w:cs="宋体"/>
                              </w:rPr>
                            </w:pPr>
                            <w:r>
                              <w:rPr>
                                <w:rFonts w:hint="eastAsia" w:ascii="宋体" w:hAnsi="宋体" w:cs="宋体"/>
                              </w:rPr>
                              <w:t>项目名称：广州设计之都郡雅酒店运营物资采购项目</w:t>
                            </w:r>
                          </w:p>
                          <w:p>
                            <w:pPr>
                              <w:rPr>
                                <w:rFonts w:ascii="宋体" w:hAnsi="宋体" w:cs="宋体"/>
                              </w:rPr>
                            </w:pPr>
                            <w:r>
                              <w:rPr>
                                <w:rFonts w:hint="eastAsia" w:ascii="宋体" w:hAnsi="宋体" w:cs="宋体"/>
                              </w:rPr>
                              <w:t>项目编号：</w:t>
                            </w:r>
                          </w:p>
                          <w:p>
                            <w:pPr>
                              <w:rPr>
                                <w:rFonts w:ascii="宋体" w:hAnsi="宋体" w:cs="宋体"/>
                              </w:rPr>
                            </w:pPr>
                            <w:r>
                              <w:rPr>
                                <w:rFonts w:hint="eastAsia" w:ascii="宋体" w:hAnsi="宋体" w:cs="宋体"/>
                              </w:rPr>
                              <w:t>包封内容：（投标文件正本、投标文件副本、开标信封）</w:t>
                            </w:r>
                          </w:p>
                          <w:p>
                            <w:pPr>
                              <w:rPr>
                                <w:rFonts w:ascii="宋体" w:hAnsi="宋体" w:cs="宋体"/>
                              </w:rPr>
                            </w:pPr>
                            <w:r>
                              <w:rPr>
                                <w:rFonts w:hint="eastAsia" w:ascii="宋体" w:hAnsi="宋体" w:cs="宋体"/>
                              </w:rPr>
                              <w:t>投标人名称：</w:t>
                            </w:r>
                          </w:p>
                          <w:p>
                            <w:pPr>
                              <w:rPr>
                                <w:rFonts w:ascii="宋体" w:hAnsi="宋体" w:cs="宋体"/>
                              </w:rPr>
                            </w:pPr>
                            <w:r>
                              <w:rPr>
                                <w:rFonts w:hint="eastAsia" w:ascii="宋体" w:hAnsi="宋体" w:cs="宋体"/>
                              </w:rPr>
                              <w:t>投标人地址：</w:t>
                            </w:r>
                          </w:p>
                          <w:p>
                            <w:pPr>
                              <w:rPr>
                                <w:rFonts w:ascii="宋体" w:hAnsi="宋体" w:cs="宋体"/>
                              </w:rPr>
                            </w:pPr>
                            <w:r>
                              <w:rPr>
                                <w:rFonts w:hint="eastAsia" w:ascii="宋体" w:hAnsi="宋体" w:cs="宋体"/>
                              </w:rPr>
                              <w:t>投标人联系人</w:t>
                            </w:r>
                          </w:p>
                          <w:p>
                            <w:pPr>
                              <w:rPr>
                                <w:rFonts w:ascii="宋体" w:hAnsi="宋体" w:cs="宋体"/>
                              </w:rPr>
                            </w:pPr>
                            <w:r>
                              <w:rPr>
                                <w:rFonts w:hint="eastAsia" w:ascii="宋体" w:hAnsi="宋体" w:cs="宋体"/>
                              </w:rPr>
                              <w:t>投标人联系方式：</w:t>
                            </w:r>
                          </w:p>
                          <w:p>
                            <w:pPr>
                              <w:jc w:val="center"/>
                              <w:rPr>
                                <w:rFonts w:ascii="宋体" w:hAnsi="宋体" w:cs="宋体"/>
                              </w:rPr>
                            </w:pPr>
                            <w:r>
                              <w:rPr>
                                <w:rFonts w:hint="eastAsia" w:ascii="宋体" w:hAnsi="宋体" w:cs="宋体"/>
                              </w:rPr>
                              <w:t>在   年  月  日  时  分之前不得启封。</w:t>
                            </w:r>
                          </w:p>
                        </w:txbxContent>
                      </wps:txbx>
                      <wps:bodyPr wrap="square" upright="1"/>
                    </wps:wsp>
                  </a:graphicData>
                </a:graphic>
              </wp:inline>
            </w:drawing>
          </mc:Choice>
          <mc:Fallback>
            <w:pict>
              <v:rect id="矩形 34" o:spid="_x0000_s1026" o:spt="1" style="height:166.4pt;width:429.75pt;" fillcolor="#FFFFFF" filled="t" stroked="t" coordsize="21600,21600" o:gfxdata="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vcKlPdUAAAAFAQAA&#10;DwAAAAAAAAABACAAAAAiAAAAZHJzL2Rvd25yZXYueG1sUEsBAhQAFAAAAAgAh07iQIPTU6EcAgAA&#10;XAQAAA4AAAAAAAAAAQAgAAAAJAEAAGRycy9lMm9Eb2MueG1sUEsFBgAAAAAGAAYAWQEAALIFAAAA&#10;AA==&#10;">
                <v:fill on="t" focussize="0,0"/>
                <v:stroke color="#000000" joinstyle="miter"/>
                <v:imagedata o:title=""/>
                <o:lock v:ext="edit" rotation="t" aspectratio="f"/>
                <v:textbox>
                  <w:txbxContent>
                    <w:p>
                      <w:pPr>
                        <w:rPr>
                          <w:rFonts w:ascii="宋体" w:hAnsi="宋体" w:cs="宋体"/>
                        </w:rPr>
                      </w:pPr>
                      <w:r>
                        <w:rPr>
                          <w:rFonts w:hint="eastAsia" w:ascii="宋体" w:hAnsi="宋体" w:cs="宋体"/>
                        </w:rPr>
                        <w:t>招标人：广州设计之都投资运营有限公司酒店管理分公司</w:t>
                      </w:r>
                    </w:p>
                    <w:p>
                      <w:pPr>
                        <w:rPr>
                          <w:rFonts w:ascii="宋体" w:hAnsi="宋体" w:cs="宋体"/>
                        </w:rPr>
                      </w:pPr>
                      <w:r>
                        <w:rPr>
                          <w:rFonts w:hint="eastAsia" w:ascii="宋体" w:hAnsi="宋体" w:cs="宋体"/>
                        </w:rPr>
                        <w:t>项目名称：广州设计之都郡雅酒店运营物资采购项目</w:t>
                      </w:r>
                    </w:p>
                    <w:p>
                      <w:pPr>
                        <w:rPr>
                          <w:rFonts w:ascii="宋体" w:hAnsi="宋体" w:cs="宋体"/>
                        </w:rPr>
                      </w:pPr>
                      <w:r>
                        <w:rPr>
                          <w:rFonts w:hint="eastAsia" w:ascii="宋体" w:hAnsi="宋体" w:cs="宋体"/>
                        </w:rPr>
                        <w:t>项目编号：</w:t>
                      </w:r>
                    </w:p>
                    <w:p>
                      <w:pPr>
                        <w:rPr>
                          <w:rFonts w:ascii="宋体" w:hAnsi="宋体" w:cs="宋体"/>
                        </w:rPr>
                      </w:pPr>
                      <w:r>
                        <w:rPr>
                          <w:rFonts w:hint="eastAsia" w:ascii="宋体" w:hAnsi="宋体" w:cs="宋体"/>
                        </w:rPr>
                        <w:t>包封内容：（投标文件正本、投标文件副本、开标信封）</w:t>
                      </w:r>
                    </w:p>
                    <w:p>
                      <w:pPr>
                        <w:rPr>
                          <w:rFonts w:ascii="宋体" w:hAnsi="宋体" w:cs="宋体"/>
                        </w:rPr>
                      </w:pPr>
                      <w:r>
                        <w:rPr>
                          <w:rFonts w:hint="eastAsia" w:ascii="宋体" w:hAnsi="宋体" w:cs="宋体"/>
                        </w:rPr>
                        <w:t>投标人名称：</w:t>
                      </w:r>
                    </w:p>
                    <w:p>
                      <w:pPr>
                        <w:rPr>
                          <w:rFonts w:ascii="宋体" w:hAnsi="宋体" w:cs="宋体"/>
                        </w:rPr>
                      </w:pPr>
                      <w:r>
                        <w:rPr>
                          <w:rFonts w:hint="eastAsia" w:ascii="宋体" w:hAnsi="宋体" w:cs="宋体"/>
                        </w:rPr>
                        <w:t>投标人地址：</w:t>
                      </w:r>
                    </w:p>
                    <w:p>
                      <w:pPr>
                        <w:rPr>
                          <w:rFonts w:ascii="宋体" w:hAnsi="宋体" w:cs="宋体"/>
                        </w:rPr>
                      </w:pPr>
                      <w:r>
                        <w:rPr>
                          <w:rFonts w:hint="eastAsia" w:ascii="宋体" w:hAnsi="宋体" w:cs="宋体"/>
                        </w:rPr>
                        <w:t>投标人联系人</w:t>
                      </w:r>
                    </w:p>
                    <w:p>
                      <w:pPr>
                        <w:rPr>
                          <w:rFonts w:ascii="宋体" w:hAnsi="宋体" w:cs="宋体"/>
                        </w:rPr>
                      </w:pPr>
                      <w:r>
                        <w:rPr>
                          <w:rFonts w:hint="eastAsia" w:ascii="宋体" w:hAnsi="宋体" w:cs="宋体"/>
                        </w:rPr>
                        <w:t>投标人联系方式：</w:t>
                      </w:r>
                    </w:p>
                    <w:p>
                      <w:pPr>
                        <w:jc w:val="center"/>
                        <w:rPr>
                          <w:rFonts w:ascii="宋体" w:hAnsi="宋体" w:cs="宋体"/>
                        </w:rPr>
                      </w:pPr>
                      <w:r>
                        <w:rPr>
                          <w:rFonts w:hint="eastAsia" w:ascii="宋体" w:hAnsi="宋体" w:cs="宋体"/>
                        </w:rPr>
                        <w:t>在   年  月  日  时  分之前不得启封。</w:t>
                      </w:r>
                    </w:p>
                  </w:txbxContent>
                </v:textbox>
                <w10:wrap type="none"/>
                <w10:anchorlock/>
              </v:rect>
            </w:pict>
          </mc:Fallback>
        </mc:AlternateContent>
      </w:r>
    </w:p>
    <w:p>
      <w:pPr>
        <w:numPr>
          <w:ilvl w:val="2"/>
          <w:numId w:val="1"/>
        </w:numPr>
        <w:spacing w:line="360" w:lineRule="auto"/>
        <w:jc w:val="left"/>
        <w:rPr>
          <w:highlight w:val="none"/>
        </w:rPr>
      </w:pPr>
      <w:r>
        <w:rPr>
          <w:highlight w:val="none"/>
        </w:rPr>
        <w:t>投标文件的密封要求：投标人应确保投标文件密闭封装，外包装材料不应留有可在包封后添加或抽取投标文件的空隙。</w:t>
      </w:r>
    </w:p>
    <w:p>
      <w:pPr>
        <w:numPr>
          <w:ilvl w:val="2"/>
          <w:numId w:val="1"/>
        </w:numPr>
        <w:spacing w:line="360" w:lineRule="auto"/>
        <w:jc w:val="left"/>
        <w:rPr>
          <w:highlight w:val="none"/>
        </w:rPr>
      </w:pPr>
      <w:r>
        <w:rPr>
          <w:highlight w:val="none"/>
        </w:rPr>
        <w:t>接收投标文件时，如果包封上没有按上述规定密封的，招标人予以拒绝，并退还给投标人。</w:t>
      </w:r>
    </w:p>
    <w:p>
      <w:pPr>
        <w:numPr>
          <w:ilvl w:val="1"/>
          <w:numId w:val="1"/>
        </w:numPr>
        <w:spacing w:line="360" w:lineRule="auto"/>
        <w:outlineLvl w:val="2"/>
        <w:rPr>
          <w:highlight w:val="none"/>
        </w:rPr>
      </w:pPr>
      <w:r>
        <w:rPr>
          <w:rFonts w:hint="eastAsia"/>
          <w:b/>
          <w:bCs/>
          <w:highlight w:val="none"/>
        </w:rPr>
        <w:t>投标文件的递交、接收</w:t>
      </w:r>
    </w:p>
    <w:p>
      <w:pPr>
        <w:numPr>
          <w:ilvl w:val="2"/>
          <w:numId w:val="1"/>
        </w:numPr>
        <w:spacing w:line="360" w:lineRule="auto"/>
        <w:jc w:val="left"/>
        <w:rPr>
          <w:highlight w:val="none"/>
        </w:rPr>
      </w:pPr>
      <w:r>
        <w:rPr>
          <w:highlight w:val="none"/>
        </w:rPr>
        <w:t>投标人代表应按规定的时间和地点向招标人提交投标文件。</w:t>
      </w:r>
    </w:p>
    <w:p>
      <w:pPr>
        <w:numPr>
          <w:ilvl w:val="2"/>
          <w:numId w:val="1"/>
        </w:numPr>
        <w:spacing w:line="360" w:lineRule="auto"/>
        <w:jc w:val="left"/>
        <w:rPr>
          <w:highlight w:val="none"/>
        </w:rPr>
      </w:pPr>
      <w:r>
        <w:rPr>
          <w:highlight w:val="none"/>
        </w:rPr>
        <w:t>投标人代表应由投标人法定代表人</w:t>
      </w:r>
      <w:r>
        <w:rPr>
          <w:rFonts w:hint="eastAsia"/>
          <w:highlight w:val="none"/>
        </w:rPr>
        <w:t>（负责人）</w:t>
      </w:r>
      <w:r>
        <w:rPr>
          <w:highlight w:val="none"/>
        </w:rPr>
        <w:t>或法定代表人</w:t>
      </w:r>
      <w:r>
        <w:rPr>
          <w:rFonts w:hint="eastAsia"/>
          <w:highlight w:val="none"/>
        </w:rPr>
        <w:t>（负责人）</w:t>
      </w:r>
      <w:r>
        <w:rPr>
          <w:highlight w:val="none"/>
        </w:rPr>
        <w:t>书面授权的委托代理人担任。法定代表人</w:t>
      </w:r>
      <w:r>
        <w:rPr>
          <w:rFonts w:hint="eastAsia"/>
          <w:highlight w:val="none"/>
        </w:rPr>
        <w:t>（负责人）</w:t>
      </w:r>
      <w:r>
        <w:rPr>
          <w:highlight w:val="none"/>
        </w:rPr>
        <w:t>应凭本人身份证复印件及提供身份证原件核对和法定代表人（负责人）证明书原件提交投标文件</w:t>
      </w:r>
      <w:r>
        <w:rPr>
          <w:rFonts w:hint="eastAsia"/>
          <w:highlight w:val="none"/>
        </w:rPr>
        <w:t>，或</w:t>
      </w:r>
      <w:r>
        <w:rPr>
          <w:highlight w:val="none"/>
        </w:rPr>
        <w:t>委托代理人应凭本人身份证复印件及提供身份证原件核对、法定代表人（负责人）证明书原件和法定代表人</w:t>
      </w:r>
      <w:r>
        <w:rPr>
          <w:rFonts w:hint="eastAsia"/>
          <w:highlight w:val="none"/>
        </w:rPr>
        <w:t>（负责人）</w:t>
      </w:r>
      <w:r>
        <w:rPr>
          <w:highlight w:val="none"/>
        </w:rPr>
        <w:t>授权委托证明书原件提交投标文件，否则，招标人拒绝接受其投标文件。</w:t>
      </w:r>
    </w:p>
    <w:p>
      <w:pPr>
        <w:numPr>
          <w:ilvl w:val="2"/>
          <w:numId w:val="1"/>
        </w:numPr>
        <w:spacing w:line="360" w:lineRule="auto"/>
        <w:jc w:val="left"/>
        <w:rPr>
          <w:highlight w:val="none"/>
        </w:rPr>
      </w:pPr>
      <w:r>
        <w:rPr>
          <w:highlight w:val="none"/>
        </w:rPr>
        <w:t>投标文件提交人应在递交投标文件的同时按招标公告的要求提交相关资料，否则提交的投标文件将被拒绝接受。</w:t>
      </w:r>
    </w:p>
    <w:p>
      <w:pPr>
        <w:numPr>
          <w:ilvl w:val="2"/>
          <w:numId w:val="1"/>
        </w:numPr>
        <w:spacing w:line="360" w:lineRule="auto"/>
        <w:jc w:val="left"/>
        <w:rPr>
          <w:highlight w:val="none"/>
        </w:rPr>
      </w:pPr>
      <w:r>
        <w:rPr>
          <w:highlight w:val="none"/>
        </w:rPr>
        <w:t>若出现以下情况，招标人将拒绝接收投标文件：</w:t>
      </w:r>
    </w:p>
    <w:p>
      <w:pPr>
        <w:spacing w:line="360" w:lineRule="auto"/>
        <w:ind w:left="567"/>
        <w:jc w:val="left"/>
        <w:rPr>
          <w:highlight w:val="none"/>
        </w:rPr>
      </w:pPr>
      <w:r>
        <w:rPr>
          <w:highlight w:val="none"/>
        </w:rPr>
        <w:t>（1）在招标文件规定的投标截止时间后逾期递交或未在指定地点递交投标文件的或递交投标文件时未按要求签到的；</w:t>
      </w:r>
    </w:p>
    <w:p>
      <w:pPr>
        <w:spacing w:line="360" w:lineRule="auto"/>
        <w:ind w:left="567"/>
        <w:jc w:val="left"/>
        <w:rPr>
          <w:highlight w:val="none"/>
        </w:rPr>
      </w:pPr>
      <w:r>
        <w:rPr>
          <w:highlight w:val="none"/>
        </w:rPr>
        <w:t>（2）投标文件未按招标文件要求密封和标志的；</w:t>
      </w:r>
    </w:p>
    <w:p>
      <w:pPr>
        <w:spacing w:line="360" w:lineRule="auto"/>
        <w:ind w:left="567"/>
        <w:jc w:val="left"/>
        <w:rPr>
          <w:highlight w:val="none"/>
        </w:rPr>
      </w:pPr>
      <w:r>
        <w:rPr>
          <w:highlight w:val="none"/>
        </w:rPr>
        <w:t>（3）递交投标文件时，投标人未委派法定代表人或其委托代理人递交投标文件（即法定代表人</w:t>
      </w:r>
      <w:r>
        <w:rPr>
          <w:rFonts w:hint="eastAsia"/>
          <w:highlight w:val="none"/>
        </w:rPr>
        <w:t>（负责人）</w:t>
      </w:r>
      <w:r>
        <w:rPr>
          <w:highlight w:val="none"/>
        </w:rPr>
        <w:t>未携带法定代表人（负责人）证明书原件，委托代理人未携带法定代表人（负责人）证明书原件及法定代表人</w:t>
      </w:r>
      <w:r>
        <w:rPr>
          <w:rFonts w:hint="eastAsia"/>
          <w:highlight w:val="none"/>
        </w:rPr>
        <w:t>（负责人）</w:t>
      </w:r>
      <w:r>
        <w:rPr>
          <w:highlight w:val="none"/>
        </w:rPr>
        <w:t>授权委托证明书），法定代表人</w:t>
      </w:r>
      <w:r>
        <w:rPr>
          <w:rFonts w:hint="eastAsia"/>
          <w:highlight w:val="none"/>
        </w:rPr>
        <w:t>（负责人）</w:t>
      </w:r>
      <w:r>
        <w:rPr>
          <w:highlight w:val="none"/>
        </w:rPr>
        <w:t>或其委托代理人未携带本人身份证复印件或未提供本人身份证原件核对。</w:t>
      </w:r>
    </w:p>
    <w:p>
      <w:pPr>
        <w:numPr>
          <w:ilvl w:val="2"/>
          <w:numId w:val="1"/>
        </w:numPr>
        <w:spacing w:line="360" w:lineRule="auto"/>
        <w:jc w:val="left"/>
        <w:rPr>
          <w:highlight w:val="none"/>
        </w:rPr>
      </w:pPr>
      <w:r>
        <w:rPr>
          <w:highlight w:val="none"/>
        </w:rPr>
        <w:t>投标截止时间前，招标人拒绝接收符合条件的投标文件，投标人可向招标监督机构投诉。</w:t>
      </w:r>
    </w:p>
    <w:p>
      <w:pPr>
        <w:numPr>
          <w:ilvl w:val="2"/>
          <w:numId w:val="1"/>
        </w:numPr>
        <w:spacing w:line="360" w:lineRule="auto"/>
        <w:jc w:val="left"/>
        <w:rPr>
          <w:highlight w:val="none"/>
        </w:rPr>
      </w:pPr>
      <w:r>
        <w:rPr>
          <w:highlight w:val="none"/>
        </w:rPr>
        <w:t>本项目开标信封、投标文件同时开启。</w:t>
      </w:r>
    </w:p>
    <w:p>
      <w:pPr>
        <w:numPr>
          <w:ilvl w:val="2"/>
          <w:numId w:val="1"/>
        </w:numPr>
        <w:spacing w:line="360" w:lineRule="auto"/>
        <w:jc w:val="left"/>
        <w:rPr>
          <w:highlight w:val="none"/>
        </w:rPr>
      </w:pPr>
      <w:r>
        <w:rPr>
          <w:highlight w:val="none"/>
        </w:rPr>
        <w:t>到投标截止时间止，若收到的投标文件少于3家的，本项目招标失败，将依法重新招标。</w:t>
      </w:r>
    </w:p>
    <w:p>
      <w:pPr>
        <w:numPr>
          <w:ilvl w:val="1"/>
          <w:numId w:val="1"/>
        </w:numPr>
        <w:spacing w:line="360" w:lineRule="auto"/>
        <w:outlineLvl w:val="2"/>
        <w:rPr>
          <w:b/>
          <w:bCs/>
          <w:highlight w:val="none"/>
        </w:rPr>
      </w:pPr>
      <w:r>
        <w:rPr>
          <w:b/>
          <w:bCs/>
          <w:highlight w:val="none"/>
        </w:rPr>
        <w:t>投标文件的修改与撤回</w:t>
      </w:r>
    </w:p>
    <w:p>
      <w:pPr>
        <w:numPr>
          <w:ilvl w:val="2"/>
          <w:numId w:val="1"/>
        </w:numPr>
        <w:spacing w:line="360" w:lineRule="auto"/>
        <w:jc w:val="left"/>
        <w:rPr>
          <w:highlight w:val="none"/>
        </w:rPr>
      </w:pPr>
      <w:r>
        <w:rPr>
          <w:highlight w:val="none"/>
        </w:rPr>
        <w:t>在投标截止时间前，投标人可以修改或撤回已递交的投标文件，但应以书面形式通知招标人。</w:t>
      </w:r>
    </w:p>
    <w:p>
      <w:pPr>
        <w:numPr>
          <w:ilvl w:val="2"/>
          <w:numId w:val="1"/>
        </w:numPr>
        <w:spacing w:line="360" w:lineRule="auto"/>
        <w:jc w:val="left"/>
        <w:rPr>
          <w:highlight w:val="none"/>
        </w:rPr>
      </w:pPr>
      <w:r>
        <w:rPr>
          <w:highlight w:val="none"/>
        </w:rPr>
        <w:t>投标人修改或撤回已递交投标文件的书面通知应按照本章第</w:t>
      </w:r>
      <w:r>
        <w:rPr>
          <w:rFonts w:hint="eastAsia"/>
          <w:highlight w:val="none"/>
        </w:rPr>
        <w:t>10.7.7条</w:t>
      </w:r>
      <w:r>
        <w:rPr>
          <w:highlight w:val="none"/>
        </w:rPr>
        <w:t>的要求签字或盖章。招标人收到书面通知后，向投标人出具签收凭证。</w:t>
      </w:r>
    </w:p>
    <w:p>
      <w:pPr>
        <w:numPr>
          <w:ilvl w:val="2"/>
          <w:numId w:val="1"/>
        </w:numPr>
        <w:spacing w:line="360" w:lineRule="auto"/>
        <w:jc w:val="left"/>
        <w:rPr>
          <w:highlight w:val="none"/>
        </w:rPr>
      </w:pPr>
      <w:r>
        <w:rPr>
          <w:highlight w:val="none"/>
        </w:rPr>
        <w:t>修改的内容为投标文件的组成部分。修改的投标文件应按照本章第</w:t>
      </w:r>
      <w:r>
        <w:rPr>
          <w:rFonts w:hint="eastAsia"/>
          <w:highlight w:val="none"/>
        </w:rPr>
        <w:t>10</w:t>
      </w:r>
      <w:r>
        <w:rPr>
          <w:highlight w:val="none"/>
        </w:rPr>
        <w:t>条、第</w:t>
      </w:r>
      <w:r>
        <w:rPr>
          <w:rFonts w:hint="eastAsia"/>
          <w:highlight w:val="none"/>
        </w:rPr>
        <w:t>11</w:t>
      </w:r>
      <w:r>
        <w:rPr>
          <w:highlight w:val="none"/>
        </w:rPr>
        <w:t>条规定进行编制、密封、标记和递交，并标明“修改”字样。</w:t>
      </w:r>
    </w:p>
    <w:p>
      <w:pPr>
        <w:numPr>
          <w:ilvl w:val="2"/>
          <w:numId w:val="1"/>
        </w:numPr>
        <w:spacing w:line="360" w:lineRule="auto"/>
        <w:jc w:val="left"/>
        <w:rPr>
          <w:highlight w:val="none"/>
        </w:rPr>
      </w:pPr>
      <w:r>
        <w:rPr>
          <w:highlight w:val="none"/>
        </w:rPr>
        <w:t>在投标截止时间之后，投标人不得补充、修改和更换投标文件。</w:t>
      </w:r>
    </w:p>
    <w:p>
      <w:pPr>
        <w:numPr>
          <w:ilvl w:val="2"/>
          <w:numId w:val="1"/>
        </w:numPr>
        <w:spacing w:line="360" w:lineRule="auto"/>
        <w:jc w:val="left"/>
        <w:rPr>
          <w:highlight w:val="none"/>
        </w:rPr>
      </w:pPr>
      <w:r>
        <w:rPr>
          <w:highlight w:val="none"/>
        </w:rPr>
        <w:t>在投标截止后，投标人在投标文件格式中规定的有效期终止日前，投标人不能撤回投标文件，否则招标人有权就其撤回行为报告政府主管部门载入不良信用记录。</w:t>
      </w:r>
    </w:p>
    <w:p>
      <w:pPr>
        <w:numPr>
          <w:ilvl w:val="0"/>
          <w:numId w:val="1"/>
        </w:numPr>
        <w:spacing w:line="360" w:lineRule="auto"/>
        <w:rPr>
          <w:rFonts w:ascii="宋体" w:hAnsi="宋体" w:cs="宋体"/>
          <w:b/>
          <w:bCs/>
          <w:sz w:val="24"/>
          <w:highlight w:val="none"/>
          <w:lang w:val="zh-CN"/>
        </w:rPr>
      </w:pPr>
      <w:bookmarkStart w:id="9" w:name="_Toc3600"/>
      <w:r>
        <w:rPr>
          <w:rFonts w:hint="eastAsia" w:ascii="宋体" w:hAnsi="宋体"/>
          <w:b/>
          <w:bCs/>
          <w:highlight w:val="none"/>
          <w:lang w:val="zh-CN"/>
        </w:rPr>
        <w:t>开标</w:t>
      </w:r>
      <w:bookmarkEnd w:id="9"/>
    </w:p>
    <w:p>
      <w:pPr>
        <w:numPr>
          <w:ilvl w:val="1"/>
          <w:numId w:val="1"/>
        </w:numPr>
        <w:spacing w:line="360" w:lineRule="auto"/>
        <w:outlineLvl w:val="2"/>
        <w:rPr>
          <w:rFonts w:ascii="宋体" w:hAnsi="宋体"/>
          <w:b/>
          <w:bCs/>
          <w:szCs w:val="21"/>
          <w:highlight w:val="none"/>
        </w:rPr>
      </w:pPr>
      <w:bookmarkStart w:id="10" w:name="_Toc21830"/>
      <w:r>
        <w:rPr>
          <w:rFonts w:hint="eastAsia" w:ascii="宋体" w:hAnsi="宋体"/>
          <w:b/>
          <w:bCs/>
          <w:szCs w:val="21"/>
          <w:highlight w:val="none"/>
        </w:rPr>
        <w:t>开标时间和地点</w:t>
      </w:r>
      <w:bookmarkEnd w:id="10"/>
    </w:p>
    <w:p>
      <w:pPr>
        <w:numPr>
          <w:ilvl w:val="2"/>
          <w:numId w:val="1"/>
        </w:numPr>
        <w:spacing w:line="360" w:lineRule="auto"/>
        <w:jc w:val="left"/>
        <w:rPr>
          <w:rFonts w:ascii="宋体" w:hAnsi="宋体" w:cs="宋体"/>
          <w:kern w:val="1"/>
          <w:highlight w:val="none"/>
        </w:rPr>
      </w:pPr>
      <w:r>
        <w:rPr>
          <w:rFonts w:hint="eastAsia" w:ascii="宋体" w:hAnsi="宋体" w:cs="宋体"/>
          <w:kern w:val="1"/>
          <w:highlight w:val="none"/>
        </w:rPr>
        <w:t>招标人在规定的投标截止时间（开标时间）和规定的地点公开开标，并邀请所有投标人的法定代表人或其委托代理人准时参加。开标前，投标人可委派法定代表人或其委托代理人携带法定代表人（负责人）证明书原件、法定代表人（负责人）授权委托证明书（委托代理人到场需提供）、本人身份证复印件及身份证原件核对准时出席，并按规定在开标记录上签名，投标人若不参加开标会议的，视为对开标结果无异议。</w:t>
      </w:r>
      <w:r>
        <w:rPr>
          <w:rFonts w:hint="eastAsia" w:ascii="宋体" w:hAnsi="宋体" w:cs="宋体"/>
          <w:kern w:val="1"/>
          <w:szCs w:val="21"/>
          <w:highlight w:val="none"/>
        </w:rPr>
        <w:t>若有关人员不签字的，不影响开标程序。</w:t>
      </w:r>
    </w:p>
    <w:p>
      <w:pPr>
        <w:numPr>
          <w:ilvl w:val="1"/>
          <w:numId w:val="1"/>
        </w:numPr>
        <w:spacing w:line="360" w:lineRule="auto"/>
        <w:outlineLvl w:val="2"/>
        <w:rPr>
          <w:rFonts w:ascii="宋体" w:hAnsi="宋体" w:cs="宋体"/>
          <w:b/>
          <w:bCs/>
          <w:kern w:val="1"/>
          <w:highlight w:val="none"/>
        </w:rPr>
      </w:pPr>
      <w:r>
        <w:rPr>
          <w:rFonts w:hint="eastAsia" w:ascii="宋体" w:hAnsi="宋体" w:cs="宋体"/>
          <w:b/>
          <w:bCs/>
          <w:kern w:val="1"/>
          <w:highlight w:val="none"/>
        </w:rPr>
        <w:t>开标程序</w:t>
      </w:r>
    </w:p>
    <w:p>
      <w:pPr>
        <w:numPr>
          <w:ilvl w:val="2"/>
          <w:numId w:val="1"/>
        </w:numPr>
        <w:spacing w:line="360" w:lineRule="auto"/>
        <w:jc w:val="left"/>
        <w:rPr>
          <w:rFonts w:ascii="宋体" w:hAnsi="宋体" w:cs="宋体"/>
          <w:kern w:val="1"/>
          <w:szCs w:val="21"/>
          <w:highlight w:val="none"/>
        </w:rPr>
      </w:pPr>
      <w:r>
        <w:rPr>
          <w:rFonts w:hint="eastAsia" w:ascii="宋体" w:hAnsi="宋体" w:cs="宋体"/>
          <w:kern w:val="1"/>
          <w:szCs w:val="21"/>
          <w:highlight w:val="none"/>
        </w:rPr>
        <w:t>招标人按规定的时间和地点公开开标，并邀请所有投标人参加。截标后，</w:t>
      </w:r>
      <w:r>
        <w:rPr>
          <w:rFonts w:hint="eastAsia" w:ascii="宋体" w:hAnsi="宋体" w:cs="宋体"/>
          <w:kern w:val="1"/>
          <w:highlight w:val="none"/>
        </w:rPr>
        <w:t>开标开始时间因故推迟的</w:t>
      </w:r>
      <w:r>
        <w:rPr>
          <w:rFonts w:hint="eastAsia" w:ascii="宋体" w:hAnsi="宋体" w:cs="宋体"/>
          <w:kern w:val="1"/>
          <w:szCs w:val="21"/>
          <w:highlight w:val="none"/>
        </w:rPr>
        <w:t>，相关评标信息仍以原递交投标文件截止时间的信息为准。投标人有权出席开标会，也可以自主决定不参加开标会。</w:t>
      </w:r>
    </w:p>
    <w:p>
      <w:pPr>
        <w:numPr>
          <w:ilvl w:val="2"/>
          <w:numId w:val="1"/>
        </w:numPr>
        <w:spacing w:line="360" w:lineRule="auto"/>
        <w:jc w:val="left"/>
        <w:rPr>
          <w:rFonts w:ascii="宋体" w:hAnsi="宋体" w:cs="宋体"/>
          <w:kern w:val="1"/>
          <w:szCs w:val="21"/>
          <w:highlight w:val="none"/>
        </w:rPr>
      </w:pPr>
      <w:r>
        <w:rPr>
          <w:rFonts w:hint="eastAsia" w:ascii="宋体" w:hAnsi="宋体" w:cs="宋体"/>
          <w:kern w:val="1"/>
          <w:szCs w:val="21"/>
          <w:highlight w:val="none"/>
        </w:rPr>
        <w:t>按规定提交合格的撤回通知的投标文件不予开封，并退回给投标人。</w:t>
      </w:r>
    </w:p>
    <w:p>
      <w:pPr>
        <w:numPr>
          <w:ilvl w:val="2"/>
          <w:numId w:val="1"/>
        </w:numPr>
        <w:spacing w:line="360" w:lineRule="auto"/>
        <w:jc w:val="left"/>
        <w:rPr>
          <w:rFonts w:ascii="宋体" w:hAnsi="宋体" w:cs="宋体"/>
          <w:kern w:val="1"/>
          <w:szCs w:val="21"/>
          <w:highlight w:val="none"/>
        </w:rPr>
      </w:pPr>
      <w:r>
        <w:rPr>
          <w:rFonts w:hint="eastAsia" w:ascii="宋体" w:hAnsi="宋体" w:cs="宋体"/>
          <w:kern w:val="1"/>
          <w:szCs w:val="21"/>
          <w:highlight w:val="none"/>
        </w:rPr>
        <w:t>招标人在招标文件要求提交投标文件的截止时间前收到的投标文件（除11.2.4约定的情形外），开标时都当众予以拆封、宣读。</w:t>
      </w:r>
    </w:p>
    <w:p>
      <w:pPr>
        <w:numPr>
          <w:ilvl w:val="2"/>
          <w:numId w:val="1"/>
        </w:numPr>
        <w:spacing w:line="360" w:lineRule="auto"/>
        <w:jc w:val="left"/>
        <w:rPr>
          <w:rFonts w:ascii="宋体" w:hAnsi="宋体" w:cs="宋体"/>
          <w:kern w:val="1"/>
          <w:szCs w:val="21"/>
          <w:highlight w:val="none"/>
        </w:rPr>
      </w:pPr>
      <w:r>
        <w:rPr>
          <w:rFonts w:hint="eastAsia" w:ascii="宋体" w:hAnsi="宋体" w:cs="宋体"/>
          <w:kern w:val="1"/>
          <w:szCs w:val="21"/>
          <w:highlight w:val="none"/>
        </w:rPr>
        <w:t>开标由招标人或委托招标代理单位主持。</w:t>
      </w:r>
    </w:p>
    <w:p>
      <w:pPr>
        <w:numPr>
          <w:ilvl w:val="2"/>
          <w:numId w:val="1"/>
        </w:numPr>
        <w:spacing w:line="360" w:lineRule="auto"/>
        <w:jc w:val="left"/>
        <w:rPr>
          <w:rFonts w:ascii="宋体" w:hAnsi="宋体" w:cs="宋体"/>
          <w:kern w:val="1"/>
          <w:szCs w:val="21"/>
          <w:highlight w:val="none"/>
        </w:rPr>
      </w:pPr>
      <w:r>
        <w:rPr>
          <w:rFonts w:hint="eastAsia" w:ascii="宋体" w:hAnsi="宋体" w:cs="宋体"/>
          <w:kern w:val="1"/>
          <w:szCs w:val="21"/>
          <w:highlight w:val="none"/>
        </w:rPr>
        <w:t>由投标人或其推选的代表检查投标文件的包封、标记和密封情况。</w:t>
      </w:r>
    </w:p>
    <w:p>
      <w:pPr>
        <w:numPr>
          <w:ilvl w:val="2"/>
          <w:numId w:val="1"/>
        </w:numPr>
        <w:spacing w:line="360" w:lineRule="auto"/>
        <w:jc w:val="left"/>
        <w:rPr>
          <w:rFonts w:ascii="宋体" w:hAnsi="宋体" w:cs="宋体"/>
          <w:kern w:val="1"/>
          <w:szCs w:val="21"/>
          <w:highlight w:val="none"/>
        </w:rPr>
      </w:pPr>
      <w:r>
        <w:rPr>
          <w:rFonts w:hint="eastAsia" w:ascii="宋体" w:hAnsi="宋体" w:cs="宋体"/>
          <w:kern w:val="1"/>
          <w:szCs w:val="21"/>
          <w:highlight w:val="none"/>
        </w:rPr>
        <w:t>开标细则</w:t>
      </w:r>
    </w:p>
    <w:p>
      <w:pPr>
        <w:spacing w:line="360" w:lineRule="auto"/>
        <w:ind w:firstLine="420" w:firstLineChars="200"/>
        <w:rPr>
          <w:rFonts w:ascii="宋体" w:hAnsi="宋体" w:cs="宋体"/>
          <w:kern w:val="1"/>
          <w:szCs w:val="21"/>
          <w:highlight w:val="none"/>
        </w:rPr>
      </w:pPr>
      <w:r>
        <w:rPr>
          <w:rFonts w:hint="eastAsia" w:ascii="宋体" w:hAnsi="宋体" w:cs="宋体"/>
          <w:kern w:val="1"/>
          <w:szCs w:val="21"/>
          <w:highlight w:val="none"/>
        </w:rPr>
        <w:t>（1）投标截止时间前，各投标人递交投标文件至招标文件规定的投标地点。</w:t>
      </w:r>
    </w:p>
    <w:p>
      <w:pPr>
        <w:spacing w:line="360" w:lineRule="auto"/>
        <w:ind w:firstLine="420" w:firstLineChars="200"/>
        <w:rPr>
          <w:rFonts w:ascii="宋体" w:hAnsi="宋体" w:cs="宋体"/>
          <w:kern w:val="1"/>
          <w:szCs w:val="21"/>
          <w:highlight w:val="none"/>
        </w:rPr>
      </w:pPr>
      <w:r>
        <w:rPr>
          <w:rFonts w:hint="eastAsia" w:ascii="宋体" w:hAnsi="宋体" w:cs="宋体"/>
          <w:kern w:val="1"/>
          <w:szCs w:val="21"/>
          <w:highlight w:val="none"/>
        </w:rPr>
        <w:t>（2）开标信封、投标文件同时公开开标。</w:t>
      </w:r>
    </w:p>
    <w:p>
      <w:pPr>
        <w:spacing w:line="360" w:lineRule="auto"/>
        <w:ind w:firstLine="420" w:firstLineChars="200"/>
        <w:rPr>
          <w:rFonts w:ascii="宋体" w:hAnsi="宋体" w:cs="宋体"/>
          <w:kern w:val="1"/>
          <w:szCs w:val="21"/>
          <w:highlight w:val="none"/>
        </w:rPr>
      </w:pPr>
      <w:r>
        <w:rPr>
          <w:rFonts w:hint="eastAsia" w:ascii="宋体" w:hAnsi="宋体" w:cs="宋体"/>
          <w:kern w:val="1"/>
          <w:szCs w:val="21"/>
          <w:highlight w:val="none"/>
        </w:rPr>
        <w:t>（3）投标人或其推选的代表检查投标文件的密封情况，经确认密封情况无误后，由招标人或招标代理机构在监督部门见证下当众拆封各投标人递交的开标信封、投标文件。开标时宣读下列内容，并予以记录，记录提交评标委员会评审：</w:t>
      </w:r>
    </w:p>
    <w:p>
      <w:pPr>
        <w:spacing w:line="360" w:lineRule="auto"/>
        <w:ind w:firstLine="420" w:firstLineChars="200"/>
        <w:rPr>
          <w:rFonts w:ascii="宋体" w:hAnsi="宋体" w:cs="宋体"/>
          <w:kern w:val="1"/>
          <w:szCs w:val="21"/>
          <w:highlight w:val="none"/>
        </w:rPr>
      </w:pPr>
      <w:r>
        <w:rPr>
          <w:rFonts w:hint="eastAsia" w:ascii="宋体" w:hAnsi="宋体" w:cs="宋体"/>
          <w:kern w:val="1"/>
          <w:szCs w:val="21"/>
          <w:highlight w:val="none"/>
        </w:rPr>
        <w:t>开标时，宣读a、投标人名称；b、标书密封情况；c、有无法定代表人（负责人）证明书及授权委托证明书； d、投标总报价；等主要内容以及开标记录表中的其他必要内容。招标人或招标代理机构对开标过程进行记录，并存档备查，投标人在开标记录上签字，以确认对所宣读的内容没有任何异议。若有关人员不签字的，不影响开标程序。</w:t>
      </w:r>
    </w:p>
    <w:p>
      <w:pPr>
        <w:numPr>
          <w:ilvl w:val="2"/>
          <w:numId w:val="1"/>
        </w:numPr>
        <w:spacing w:line="360" w:lineRule="auto"/>
        <w:jc w:val="left"/>
        <w:rPr>
          <w:rFonts w:ascii="宋体" w:hAnsi="宋体"/>
          <w:szCs w:val="21"/>
          <w:highlight w:val="none"/>
        </w:rPr>
      </w:pPr>
      <w:bookmarkStart w:id="11" w:name="_Toc11457"/>
      <w:r>
        <w:rPr>
          <w:rFonts w:hint="eastAsia" w:ascii="宋体" w:hAnsi="宋体"/>
          <w:szCs w:val="21"/>
          <w:highlight w:val="none"/>
        </w:rPr>
        <w:t>开标异议</w:t>
      </w:r>
      <w:bookmarkEnd w:id="11"/>
    </w:p>
    <w:p>
      <w:pPr>
        <w:spacing w:line="360" w:lineRule="auto"/>
        <w:ind w:firstLine="359"/>
        <w:rPr>
          <w:rFonts w:ascii="宋体" w:hAnsi="宋体" w:cs="宋体"/>
          <w:kern w:val="1"/>
          <w:szCs w:val="21"/>
          <w:highlight w:val="none"/>
        </w:rPr>
      </w:pPr>
      <w:r>
        <w:rPr>
          <w:rFonts w:hint="eastAsia" w:ascii="宋体" w:hAnsi="宋体" w:cs="宋体"/>
          <w:kern w:val="1"/>
          <w:szCs w:val="21"/>
          <w:highlight w:val="none"/>
        </w:rPr>
        <w:t>投标人对开标有异议的，应当在开标现场提出，招标人当场作出答复，并制作记录。</w:t>
      </w:r>
    </w:p>
    <w:p>
      <w:pPr>
        <w:numPr>
          <w:ilvl w:val="0"/>
          <w:numId w:val="1"/>
        </w:numPr>
        <w:spacing w:line="360" w:lineRule="auto"/>
        <w:rPr>
          <w:rFonts w:ascii="宋体" w:hAnsi="宋体" w:cs="宋体"/>
          <w:b/>
          <w:bCs/>
          <w:sz w:val="24"/>
          <w:highlight w:val="none"/>
          <w:lang w:val="zh-CN"/>
        </w:rPr>
      </w:pPr>
      <w:bookmarkStart w:id="12" w:name="_Toc5620328"/>
      <w:bookmarkStart w:id="13" w:name="_Toc6507"/>
      <w:r>
        <w:rPr>
          <w:rFonts w:hint="eastAsia" w:ascii="宋体" w:hAnsi="宋体"/>
          <w:b/>
          <w:bCs/>
          <w:highlight w:val="none"/>
          <w:lang w:val="zh-CN"/>
        </w:rPr>
        <w:t>评标</w:t>
      </w:r>
      <w:bookmarkEnd w:id="12"/>
      <w:bookmarkEnd w:id="13"/>
    </w:p>
    <w:p>
      <w:pPr>
        <w:numPr>
          <w:ilvl w:val="1"/>
          <w:numId w:val="1"/>
        </w:numPr>
        <w:spacing w:line="360" w:lineRule="auto"/>
        <w:outlineLvl w:val="2"/>
        <w:rPr>
          <w:rFonts w:ascii="宋体" w:hAnsi="宋体"/>
          <w:b/>
          <w:bCs/>
          <w:szCs w:val="21"/>
          <w:highlight w:val="none"/>
        </w:rPr>
      </w:pPr>
      <w:bookmarkStart w:id="14" w:name="_Toc5620329"/>
      <w:bookmarkStart w:id="15" w:name="_Toc19143"/>
      <w:r>
        <w:rPr>
          <w:rFonts w:hint="eastAsia" w:ascii="宋体" w:hAnsi="宋体"/>
          <w:b/>
          <w:bCs/>
          <w:szCs w:val="21"/>
          <w:highlight w:val="none"/>
        </w:rPr>
        <w:t>评标委员会</w:t>
      </w:r>
      <w:bookmarkEnd w:id="14"/>
      <w:bookmarkEnd w:id="15"/>
    </w:p>
    <w:p>
      <w:pPr>
        <w:numPr>
          <w:ilvl w:val="2"/>
          <w:numId w:val="1"/>
        </w:numPr>
        <w:spacing w:line="360" w:lineRule="auto"/>
        <w:jc w:val="left"/>
        <w:rPr>
          <w:rFonts w:ascii="宋体" w:hAnsi="宋体" w:cs="宋体"/>
          <w:kern w:val="1"/>
          <w:szCs w:val="21"/>
          <w:highlight w:val="none"/>
        </w:rPr>
      </w:pPr>
      <w:r>
        <w:rPr>
          <w:rFonts w:hint="eastAsia" w:ascii="宋体" w:hAnsi="宋体" w:cs="宋体"/>
          <w:kern w:val="1"/>
          <w:szCs w:val="21"/>
          <w:highlight w:val="none"/>
        </w:rPr>
        <w:t>评标由招标人依法组建的评标委员会负责。</w:t>
      </w:r>
    </w:p>
    <w:p>
      <w:pPr>
        <w:numPr>
          <w:ilvl w:val="2"/>
          <w:numId w:val="1"/>
        </w:numPr>
        <w:spacing w:line="360" w:lineRule="auto"/>
        <w:jc w:val="left"/>
        <w:rPr>
          <w:rFonts w:ascii="宋体" w:hAnsi="宋体" w:cs="宋体"/>
          <w:kern w:val="1"/>
          <w:szCs w:val="21"/>
          <w:highlight w:val="none"/>
        </w:rPr>
      </w:pPr>
      <w:r>
        <w:rPr>
          <w:rFonts w:hint="eastAsia" w:ascii="宋体" w:hAnsi="宋体" w:cs="宋体"/>
          <w:kern w:val="1"/>
          <w:szCs w:val="21"/>
          <w:highlight w:val="none"/>
        </w:rPr>
        <w:t>评标委员会成员有下列情形之一的，应当回避：</w:t>
      </w:r>
    </w:p>
    <w:p>
      <w:pPr>
        <w:spacing w:line="360" w:lineRule="auto"/>
        <w:ind w:firstLine="420"/>
        <w:rPr>
          <w:rFonts w:ascii="宋体" w:hAnsi="宋体" w:cs="宋体"/>
          <w:kern w:val="1"/>
          <w:szCs w:val="21"/>
          <w:highlight w:val="none"/>
        </w:rPr>
      </w:pPr>
      <w:r>
        <w:rPr>
          <w:rFonts w:hint="eastAsia" w:ascii="宋体" w:hAnsi="宋体" w:cs="宋体"/>
          <w:kern w:val="1"/>
          <w:szCs w:val="21"/>
          <w:highlight w:val="none"/>
        </w:rPr>
        <w:t>（1）投标人或投标人主要负责人的近亲属；</w:t>
      </w:r>
    </w:p>
    <w:p>
      <w:pPr>
        <w:spacing w:line="360" w:lineRule="auto"/>
        <w:ind w:firstLine="420"/>
        <w:rPr>
          <w:rFonts w:ascii="宋体" w:hAnsi="宋体" w:cs="宋体"/>
          <w:kern w:val="1"/>
          <w:szCs w:val="21"/>
          <w:highlight w:val="none"/>
        </w:rPr>
      </w:pPr>
      <w:r>
        <w:rPr>
          <w:rFonts w:hint="eastAsia" w:ascii="宋体" w:hAnsi="宋体" w:cs="宋体"/>
          <w:kern w:val="1"/>
          <w:szCs w:val="21"/>
          <w:highlight w:val="none"/>
        </w:rPr>
        <w:t>（2）项目主管部门或者行政监督部门的人员；</w:t>
      </w:r>
    </w:p>
    <w:p>
      <w:pPr>
        <w:spacing w:line="360" w:lineRule="auto"/>
        <w:ind w:firstLine="420"/>
        <w:rPr>
          <w:rFonts w:ascii="宋体" w:hAnsi="宋体" w:cs="宋体"/>
          <w:kern w:val="1"/>
          <w:szCs w:val="21"/>
          <w:highlight w:val="none"/>
        </w:rPr>
      </w:pPr>
      <w:r>
        <w:rPr>
          <w:rFonts w:hint="eastAsia" w:ascii="宋体" w:hAnsi="宋体" w:cs="宋体"/>
          <w:kern w:val="1"/>
          <w:szCs w:val="21"/>
          <w:highlight w:val="none"/>
        </w:rPr>
        <w:t>（3）与投标人有经济利益关系，可能影响对投标公正评审的；</w:t>
      </w:r>
    </w:p>
    <w:p>
      <w:pPr>
        <w:spacing w:line="360" w:lineRule="auto"/>
        <w:ind w:firstLine="420"/>
        <w:rPr>
          <w:rFonts w:ascii="宋体" w:hAnsi="宋体" w:cs="宋体"/>
          <w:kern w:val="1"/>
          <w:szCs w:val="21"/>
          <w:highlight w:val="none"/>
        </w:rPr>
      </w:pPr>
      <w:r>
        <w:rPr>
          <w:rFonts w:hint="eastAsia" w:ascii="宋体" w:hAnsi="宋体" w:cs="宋体"/>
          <w:kern w:val="1"/>
          <w:szCs w:val="21"/>
          <w:highlight w:val="none"/>
        </w:rPr>
        <w:t>（4）曾因在招标、评标以及其他与招标投标有关活动中从事违法行为而受过行政处罚或刑事处罚的；</w:t>
      </w:r>
    </w:p>
    <w:p>
      <w:pPr>
        <w:spacing w:line="360" w:lineRule="auto"/>
        <w:ind w:firstLine="420"/>
        <w:rPr>
          <w:rFonts w:ascii="宋体" w:hAnsi="宋体" w:cs="宋体"/>
          <w:kern w:val="1"/>
          <w:szCs w:val="21"/>
          <w:highlight w:val="none"/>
        </w:rPr>
      </w:pPr>
      <w:r>
        <w:rPr>
          <w:rFonts w:hint="eastAsia" w:ascii="宋体" w:hAnsi="宋体" w:cs="宋体"/>
          <w:kern w:val="1"/>
          <w:szCs w:val="21"/>
          <w:highlight w:val="none"/>
        </w:rPr>
        <w:t>（5）与投标人有其他利害关系。</w:t>
      </w:r>
    </w:p>
    <w:p>
      <w:pPr>
        <w:numPr>
          <w:ilvl w:val="1"/>
          <w:numId w:val="1"/>
        </w:numPr>
        <w:spacing w:line="360" w:lineRule="auto"/>
        <w:outlineLvl w:val="2"/>
        <w:rPr>
          <w:rFonts w:ascii="宋体" w:hAnsi="宋体"/>
          <w:b/>
          <w:bCs/>
          <w:szCs w:val="21"/>
          <w:highlight w:val="none"/>
        </w:rPr>
      </w:pPr>
      <w:bookmarkStart w:id="16" w:name="_Toc443505829"/>
      <w:bookmarkEnd w:id="16"/>
      <w:bookmarkStart w:id="17" w:name="_Toc7827"/>
      <w:bookmarkStart w:id="18" w:name="_Toc5620330"/>
      <w:r>
        <w:rPr>
          <w:rFonts w:hint="eastAsia" w:ascii="宋体" w:hAnsi="宋体"/>
          <w:b/>
          <w:bCs/>
          <w:szCs w:val="21"/>
          <w:highlight w:val="none"/>
        </w:rPr>
        <w:t>评标原则</w:t>
      </w:r>
      <w:bookmarkEnd w:id="17"/>
      <w:bookmarkEnd w:id="18"/>
      <w:r>
        <w:rPr>
          <w:rFonts w:hint="eastAsia" w:ascii="宋体" w:hAnsi="宋体"/>
          <w:b/>
          <w:bCs/>
          <w:szCs w:val="21"/>
          <w:highlight w:val="none"/>
        </w:rPr>
        <w:tab/>
      </w:r>
    </w:p>
    <w:p>
      <w:pPr>
        <w:spacing w:line="360" w:lineRule="auto"/>
        <w:ind w:firstLine="420"/>
        <w:rPr>
          <w:rFonts w:ascii="宋体" w:hAnsi="宋体" w:cs="宋体"/>
          <w:kern w:val="1"/>
          <w:szCs w:val="21"/>
          <w:highlight w:val="none"/>
        </w:rPr>
      </w:pPr>
      <w:r>
        <w:rPr>
          <w:rFonts w:hint="eastAsia" w:ascii="宋体" w:hAnsi="宋体" w:cs="宋体"/>
          <w:kern w:val="1"/>
          <w:szCs w:val="21"/>
          <w:highlight w:val="none"/>
        </w:rPr>
        <w:t>评标活动遵循公平、公正、科学和择优的原则。</w:t>
      </w:r>
    </w:p>
    <w:p>
      <w:pPr>
        <w:numPr>
          <w:ilvl w:val="1"/>
          <w:numId w:val="1"/>
        </w:numPr>
        <w:spacing w:line="360" w:lineRule="auto"/>
        <w:outlineLvl w:val="2"/>
        <w:rPr>
          <w:rFonts w:ascii="宋体" w:hAnsi="宋体"/>
          <w:b/>
          <w:bCs/>
          <w:szCs w:val="21"/>
          <w:highlight w:val="none"/>
        </w:rPr>
      </w:pPr>
      <w:bookmarkStart w:id="19" w:name="_Toc16832"/>
      <w:bookmarkStart w:id="20" w:name="_Toc5620331"/>
      <w:r>
        <w:rPr>
          <w:rFonts w:hint="eastAsia" w:ascii="宋体" w:hAnsi="宋体"/>
          <w:b/>
          <w:bCs/>
          <w:szCs w:val="21"/>
          <w:highlight w:val="none"/>
        </w:rPr>
        <w:t>评标</w:t>
      </w:r>
      <w:bookmarkEnd w:id="19"/>
      <w:bookmarkEnd w:id="20"/>
    </w:p>
    <w:p>
      <w:pPr>
        <w:numPr>
          <w:ilvl w:val="2"/>
          <w:numId w:val="1"/>
        </w:numPr>
        <w:spacing w:line="360" w:lineRule="auto"/>
        <w:jc w:val="left"/>
        <w:rPr>
          <w:rFonts w:ascii="宋体" w:hAnsi="宋体"/>
          <w:highlight w:val="none"/>
        </w:rPr>
      </w:pPr>
      <w:r>
        <w:rPr>
          <w:rFonts w:hint="eastAsia" w:ascii="宋体" w:hAnsi="宋体"/>
          <w:highlight w:val="none"/>
        </w:rPr>
        <w:t>评标委员会对投标文件进行投标文件的资格和符合性审查，通过资格和符合性审查的投标文件再进行综合评分，综合评分汇总并排序，向招标人推荐前3名为中标候选人。</w:t>
      </w:r>
    </w:p>
    <w:p>
      <w:pPr>
        <w:numPr>
          <w:ilvl w:val="2"/>
          <w:numId w:val="1"/>
        </w:numPr>
        <w:spacing w:line="360" w:lineRule="auto"/>
        <w:jc w:val="left"/>
        <w:rPr>
          <w:rFonts w:ascii="宋体" w:hAnsi="宋体"/>
          <w:highlight w:val="none"/>
        </w:rPr>
      </w:pPr>
      <w:r>
        <w:rPr>
          <w:rFonts w:hint="eastAsia" w:ascii="宋体" w:hAnsi="宋体"/>
          <w:highlight w:val="none"/>
        </w:rPr>
        <w:t xml:space="preserve">评委应在其书面评审意见上签字确认，评委就其评审意见承担个人责任。 </w:t>
      </w:r>
    </w:p>
    <w:p>
      <w:pPr>
        <w:numPr>
          <w:ilvl w:val="1"/>
          <w:numId w:val="1"/>
        </w:numPr>
        <w:spacing w:line="360" w:lineRule="auto"/>
        <w:outlineLvl w:val="2"/>
        <w:rPr>
          <w:rFonts w:ascii="宋体" w:hAnsi="宋体"/>
          <w:b/>
          <w:bCs/>
          <w:highlight w:val="none"/>
        </w:rPr>
      </w:pPr>
      <w:r>
        <w:rPr>
          <w:rFonts w:hint="eastAsia" w:ascii="宋体" w:hAnsi="宋体"/>
          <w:b/>
          <w:bCs/>
          <w:highlight w:val="none"/>
        </w:rPr>
        <w:t>评标流程</w:t>
      </w:r>
    </w:p>
    <w:p>
      <w:pPr>
        <w:numPr>
          <w:ilvl w:val="2"/>
          <w:numId w:val="1"/>
        </w:numPr>
        <w:spacing w:line="360" w:lineRule="auto"/>
        <w:jc w:val="left"/>
        <w:rPr>
          <w:rFonts w:ascii="宋体" w:hAnsi="宋体"/>
          <w:highlight w:val="none"/>
        </w:rPr>
      </w:pPr>
      <w:r>
        <w:rPr>
          <w:rFonts w:hint="eastAsia" w:ascii="宋体" w:hAnsi="宋体"/>
          <w:szCs w:val="21"/>
          <w:highlight w:val="none"/>
        </w:rPr>
        <w:t>由评标委员会对所有已公开开标的投标人进行</w:t>
      </w:r>
      <w:r>
        <w:rPr>
          <w:rFonts w:hint="eastAsia" w:ascii="宋体" w:hAnsi="宋体"/>
          <w:highlight w:val="none"/>
        </w:rPr>
        <w:t>资格和符合性审查；</w:t>
      </w:r>
    </w:p>
    <w:p>
      <w:pPr>
        <w:numPr>
          <w:ilvl w:val="2"/>
          <w:numId w:val="1"/>
        </w:numPr>
        <w:spacing w:line="360" w:lineRule="auto"/>
        <w:jc w:val="left"/>
        <w:rPr>
          <w:rFonts w:ascii="宋体" w:hAnsi="宋体"/>
          <w:highlight w:val="none"/>
        </w:rPr>
      </w:pPr>
      <w:r>
        <w:rPr>
          <w:rFonts w:hint="eastAsia" w:ascii="宋体" w:hAnsi="宋体"/>
          <w:highlight w:val="none"/>
        </w:rPr>
        <w:t>综合评审；</w:t>
      </w:r>
    </w:p>
    <w:p>
      <w:pPr>
        <w:numPr>
          <w:ilvl w:val="2"/>
          <w:numId w:val="1"/>
        </w:numPr>
        <w:spacing w:line="360" w:lineRule="auto"/>
        <w:jc w:val="left"/>
        <w:rPr>
          <w:rFonts w:ascii="宋体" w:hAnsi="宋体"/>
          <w:highlight w:val="none"/>
        </w:rPr>
      </w:pPr>
      <w:r>
        <w:rPr>
          <w:rFonts w:hint="eastAsia" w:ascii="宋体" w:hAnsi="宋体"/>
          <w:highlight w:val="none"/>
        </w:rPr>
        <w:t>评标委员会按照投标人总得分由高至低排序；</w:t>
      </w:r>
    </w:p>
    <w:p>
      <w:pPr>
        <w:numPr>
          <w:ilvl w:val="2"/>
          <w:numId w:val="1"/>
        </w:numPr>
        <w:spacing w:line="360" w:lineRule="auto"/>
        <w:jc w:val="left"/>
        <w:rPr>
          <w:rFonts w:ascii="宋体" w:hAnsi="宋体"/>
          <w:highlight w:val="none"/>
        </w:rPr>
      </w:pPr>
      <w:r>
        <w:rPr>
          <w:rFonts w:hint="eastAsia" w:ascii="宋体" w:hAnsi="宋体"/>
          <w:szCs w:val="21"/>
          <w:highlight w:val="none"/>
        </w:rPr>
        <w:t>评标委员会按排序向招标人推荐中标候选人名单，并递交评标报告</w:t>
      </w:r>
      <w:r>
        <w:rPr>
          <w:rFonts w:hint="eastAsia" w:ascii="宋体" w:hAnsi="宋体"/>
          <w:highlight w:val="none"/>
        </w:rPr>
        <w:t>。</w:t>
      </w:r>
    </w:p>
    <w:p>
      <w:pPr>
        <w:numPr>
          <w:ilvl w:val="1"/>
          <w:numId w:val="1"/>
        </w:numPr>
        <w:spacing w:line="360" w:lineRule="auto"/>
        <w:outlineLvl w:val="2"/>
        <w:rPr>
          <w:rFonts w:ascii="宋体" w:hAnsi="宋体"/>
          <w:b/>
          <w:bCs/>
          <w:highlight w:val="none"/>
        </w:rPr>
      </w:pPr>
      <w:r>
        <w:rPr>
          <w:rFonts w:hint="eastAsia" w:ascii="宋体" w:hAnsi="宋体"/>
          <w:b/>
          <w:bCs/>
          <w:highlight w:val="none"/>
        </w:rPr>
        <w:t>评标细则</w:t>
      </w:r>
    </w:p>
    <w:p>
      <w:pPr>
        <w:numPr>
          <w:ilvl w:val="2"/>
          <w:numId w:val="1"/>
        </w:numPr>
        <w:spacing w:line="360" w:lineRule="auto"/>
        <w:jc w:val="left"/>
        <w:rPr>
          <w:rFonts w:ascii="宋体" w:hAnsi="宋体"/>
          <w:highlight w:val="none"/>
        </w:rPr>
      </w:pPr>
      <w:r>
        <w:rPr>
          <w:rFonts w:hint="eastAsia" w:ascii="宋体" w:hAnsi="宋体"/>
          <w:highlight w:val="none"/>
        </w:rPr>
        <w:t>资格和符合性审查（详见附件1）</w:t>
      </w:r>
    </w:p>
    <w:p>
      <w:pPr>
        <w:spacing w:line="360" w:lineRule="auto"/>
        <w:ind w:firstLine="420"/>
        <w:rPr>
          <w:rFonts w:ascii="宋体" w:hAnsi="宋体"/>
          <w:highlight w:val="none"/>
        </w:rPr>
      </w:pPr>
      <w:r>
        <w:rPr>
          <w:rFonts w:hint="eastAsia" w:ascii="宋体" w:hAnsi="宋体"/>
          <w:highlight w:val="none"/>
        </w:rPr>
        <w:t>投标文件</w:t>
      </w:r>
      <w:r>
        <w:rPr>
          <w:rFonts w:ascii="宋体" w:hAnsi="宋体"/>
          <w:highlight w:val="none"/>
        </w:rPr>
        <w:t>中全部符合《</w:t>
      </w:r>
      <w:r>
        <w:rPr>
          <w:rFonts w:hint="eastAsia" w:ascii="宋体" w:hAnsi="宋体"/>
          <w:highlight w:val="none"/>
        </w:rPr>
        <w:t>资格和符合性审查表</w:t>
      </w:r>
      <w:r>
        <w:rPr>
          <w:rFonts w:ascii="宋体" w:hAnsi="宋体"/>
          <w:highlight w:val="none"/>
        </w:rPr>
        <w:t>》中情形的，为</w:t>
      </w:r>
      <w:r>
        <w:rPr>
          <w:rFonts w:hint="eastAsia" w:ascii="宋体" w:hAnsi="宋体"/>
          <w:highlight w:val="none"/>
        </w:rPr>
        <w:t>资格和符合性审查</w:t>
      </w:r>
      <w:r>
        <w:rPr>
          <w:rFonts w:ascii="宋体" w:hAnsi="宋体"/>
          <w:highlight w:val="none"/>
        </w:rPr>
        <w:t>合格；否则为</w:t>
      </w:r>
      <w:r>
        <w:rPr>
          <w:rFonts w:hint="eastAsia" w:ascii="宋体" w:hAnsi="宋体"/>
          <w:highlight w:val="none"/>
        </w:rPr>
        <w:t>资格和符合性审查</w:t>
      </w:r>
      <w:r>
        <w:rPr>
          <w:rFonts w:ascii="宋体" w:hAnsi="宋体"/>
          <w:highlight w:val="none"/>
        </w:rPr>
        <w:t>不合格。如评标委员会成员的评审意见不一致时，以评标委员会过半数成员的意见作为评标委员会对该情形的认定结论</w:t>
      </w:r>
      <w:r>
        <w:rPr>
          <w:rFonts w:hint="eastAsia" w:ascii="宋体" w:hAnsi="宋体"/>
          <w:highlight w:val="none"/>
        </w:rPr>
        <w:t>；</w:t>
      </w:r>
    </w:p>
    <w:p>
      <w:pPr>
        <w:spacing w:line="360" w:lineRule="auto"/>
        <w:ind w:firstLine="420"/>
        <w:rPr>
          <w:rFonts w:ascii="宋体" w:hAnsi="宋体"/>
          <w:highlight w:val="none"/>
        </w:rPr>
      </w:pPr>
      <w:r>
        <w:rPr>
          <w:rFonts w:hint="eastAsia" w:ascii="宋体" w:hAnsi="宋体"/>
          <w:highlight w:val="none"/>
        </w:rPr>
        <w:t>资格或符合性审查</w:t>
      </w:r>
      <w:r>
        <w:rPr>
          <w:rFonts w:ascii="宋体" w:hAnsi="宋体"/>
          <w:szCs w:val="21"/>
          <w:highlight w:val="none"/>
        </w:rPr>
        <w:t>合格的投标人少于3名的，则本项目招标失败。</w:t>
      </w:r>
    </w:p>
    <w:p>
      <w:pPr>
        <w:numPr>
          <w:ilvl w:val="2"/>
          <w:numId w:val="1"/>
        </w:numPr>
        <w:spacing w:line="360" w:lineRule="auto"/>
        <w:jc w:val="left"/>
        <w:rPr>
          <w:rFonts w:ascii="宋体" w:hAnsi="宋体"/>
          <w:highlight w:val="none"/>
        </w:rPr>
      </w:pPr>
      <w:r>
        <w:rPr>
          <w:rFonts w:hint="eastAsia" w:ascii="宋体" w:hAnsi="宋体"/>
          <w:highlight w:val="none"/>
        </w:rPr>
        <w:t>详细评审(详见附件2)</w:t>
      </w:r>
    </w:p>
    <w:p>
      <w:pPr>
        <w:spacing w:line="360" w:lineRule="auto"/>
        <w:ind w:firstLine="420"/>
        <w:rPr>
          <w:rFonts w:ascii="宋体" w:hAnsi="宋体"/>
          <w:bCs/>
          <w:highlight w:val="none"/>
        </w:rPr>
      </w:pPr>
      <w:r>
        <w:rPr>
          <w:rFonts w:hint="eastAsia" w:ascii="宋体" w:hAnsi="宋体"/>
          <w:bCs/>
          <w:highlight w:val="none"/>
        </w:rPr>
        <w:t>评标委员会按照《综合评审表》的标准，对通过资格和符合性审查的投标文件进行详细审查，评出综合得分。投标人的得分为各评委评分的算术平均值（得分四舍五入精确到小数点后两位）。</w:t>
      </w:r>
    </w:p>
    <w:p>
      <w:pPr>
        <w:numPr>
          <w:ilvl w:val="1"/>
          <w:numId w:val="1"/>
        </w:numPr>
        <w:spacing w:line="360" w:lineRule="auto"/>
        <w:outlineLvl w:val="2"/>
        <w:rPr>
          <w:rFonts w:ascii="宋体" w:hAnsi="宋体"/>
          <w:b/>
          <w:bCs/>
          <w:highlight w:val="none"/>
        </w:rPr>
      </w:pPr>
      <w:r>
        <w:rPr>
          <w:rFonts w:hint="eastAsia" w:ascii="宋体" w:hAnsi="宋体"/>
          <w:b/>
          <w:bCs/>
          <w:highlight w:val="none"/>
        </w:rPr>
        <w:t>投标人总得分汇总和排序</w:t>
      </w:r>
    </w:p>
    <w:p>
      <w:pPr>
        <w:numPr>
          <w:ilvl w:val="2"/>
          <w:numId w:val="1"/>
        </w:numPr>
        <w:spacing w:line="360" w:lineRule="auto"/>
        <w:jc w:val="left"/>
        <w:rPr>
          <w:rFonts w:ascii="宋体" w:hAnsi="宋体"/>
          <w:highlight w:val="none"/>
        </w:rPr>
      </w:pPr>
      <w:r>
        <w:rPr>
          <w:rFonts w:hint="eastAsia" w:ascii="宋体" w:hAnsi="宋体"/>
          <w:bCs/>
          <w:highlight w:val="none"/>
        </w:rPr>
        <w:t>投标</w:t>
      </w:r>
      <w:r>
        <w:rPr>
          <w:rFonts w:hint="eastAsia" w:ascii="宋体" w:hAnsi="宋体"/>
          <w:szCs w:val="21"/>
          <w:highlight w:val="none"/>
        </w:rPr>
        <w:t>人总得分=综合得分</w:t>
      </w:r>
      <w:r>
        <w:rPr>
          <w:rFonts w:hint="eastAsia" w:ascii="宋体" w:hAnsi="宋体"/>
          <w:highlight w:val="none"/>
        </w:rPr>
        <w:t>；</w:t>
      </w:r>
    </w:p>
    <w:p>
      <w:pPr>
        <w:numPr>
          <w:ilvl w:val="2"/>
          <w:numId w:val="1"/>
        </w:numPr>
        <w:spacing w:line="360" w:lineRule="auto"/>
        <w:jc w:val="left"/>
        <w:rPr>
          <w:rFonts w:ascii="宋体" w:hAnsi="宋体"/>
          <w:highlight w:val="none"/>
        </w:rPr>
      </w:pPr>
      <w:r>
        <w:rPr>
          <w:rFonts w:hint="eastAsia" w:ascii="宋体" w:hAnsi="宋体"/>
          <w:highlight w:val="none"/>
        </w:rPr>
        <w:t>评标</w:t>
      </w:r>
      <w:r>
        <w:rPr>
          <w:rFonts w:hint="eastAsia" w:ascii="宋体" w:hAnsi="宋体"/>
          <w:bCs/>
          <w:highlight w:val="none"/>
        </w:rPr>
        <w:t>委员会</w:t>
      </w:r>
      <w:r>
        <w:rPr>
          <w:rFonts w:hint="eastAsia" w:ascii="宋体" w:hAnsi="宋体"/>
          <w:highlight w:val="none"/>
        </w:rPr>
        <w:t>将</w:t>
      </w:r>
      <w:r>
        <w:rPr>
          <w:rFonts w:hint="eastAsia" w:ascii="宋体" w:hAnsi="宋体"/>
          <w:szCs w:val="21"/>
          <w:highlight w:val="none"/>
        </w:rPr>
        <w:t>投标人总得分</w:t>
      </w:r>
      <w:r>
        <w:rPr>
          <w:rFonts w:hint="eastAsia" w:ascii="宋体" w:hAnsi="宋体"/>
          <w:highlight w:val="none"/>
        </w:rPr>
        <w:t>由高到低进行排序，将</w:t>
      </w:r>
      <w:r>
        <w:rPr>
          <w:rFonts w:hint="eastAsia" w:ascii="宋体" w:hAnsi="宋体"/>
          <w:szCs w:val="21"/>
          <w:highlight w:val="none"/>
        </w:rPr>
        <w:t>投标人总得分</w:t>
      </w:r>
      <w:r>
        <w:rPr>
          <w:rFonts w:hint="eastAsia" w:ascii="宋体" w:hAnsi="宋体"/>
          <w:highlight w:val="none"/>
        </w:rPr>
        <w:t>最高的前3名投标人作为中标候选人推荐给招标人，由招标人依法确定中标人。</w:t>
      </w:r>
    </w:p>
    <w:p>
      <w:pPr>
        <w:numPr>
          <w:ilvl w:val="1"/>
          <w:numId w:val="1"/>
        </w:numPr>
        <w:spacing w:line="360" w:lineRule="auto"/>
        <w:rPr>
          <w:rFonts w:ascii="宋体" w:hAnsi="宋体" w:cs="宋体"/>
          <w:kern w:val="1"/>
          <w:szCs w:val="21"/>
          <w:highlight w:val="none"/>
        </w:rPr>
      </w:pPr>
      <w:r>
        <w:rPr>
          <w:rFonts w:hint="eastAsia" w:ascii="宋体" w:hAnsi="宋体" w:cs="宋体"/>
          <w:kern w:val="1"/>
          <w:szCs w:val="21"/>
          <w:highlight w:val="none"/>
        </w:rPr>
        <w:t>在评审过程中，评标委员会可以以书面形式要求投标人就资格审查文件和投标文件中含义不明确的内容进行书面说明并提供相关材料。</w:t>
      </w:r>
    </w:p>
    <w:p>
      <w:pPr>
        <w:numPr>
          <w:ilvl w:val="1"/>
          <w:numId w:val="1"/>
        </w:numPr>
        <w:spacing w:line="360" w:lineRule="auto"/>
        <w:rPr>
          <w:rFonts w:ascii="宋体" w:hAnsi="宋体" w:cs="宋体"/>
          <w:kern w:val="1"/>
          <w:szCs w:val="21"/>
          <w:highlight w:val="none"/>
        </w:rPr>
      </w:pPr>
      <w:r>
        <w:rPr>
          <w:rFonts w:hint="eastAsia" w:ascii="宋体" w:hAnsi="宋体" w:cs="宋体"/>
          <w:kern w:val="1"/>
          <w:szCs w:val="21"/>
          <w:highlight w:val="none"/>
        </w:rPr>
        <w:t>评标委员会经评审，认为所有投标都不符合招标文件要求的，可以否决所有投标。所有投标被否决后，招标人应当依法重新招标。</w:t>
      </w:r>
    </w:p>
    <w:p>
      <w:pPr>
        <w:numPr>
          <w:ilvl w:val="1"/>
          <w:numId w:val="1"/>
        </w:numPr>
        <w:spacing w:line="360" w:lineRule="auto"/>
        <w:outlineLvl w:val="2"/>
        <w:rPr>
          <w:rFonts w:ascii="宋体" w:hAnsi="宋体"/>
          <w:b/>
          <w:bCs/>
          <w:szCs w:val="21"/>
          <w:highlight w:val="none"/>
        </w:rPr>
      </w:pPr>
      <w:bookmarkStart w:id="21" w:name="_Toc5620332"/>
      <w:bookmarkStart w:id="22" w:name="_Toc14839"/>
      <w:r>
        <w:rPr>
          <w:rFonts w:hint="eastAsia" w:ascii="宋体" w:hAnsi="宋体"/>
          <w:b/>
          <w:bCs/>
          <w:szCs w:val="21"/>
          <w:highlight w:val="none"/>
        </w:rPr>
        <w:t>评标过程的保密</w:t>
      </w:r>
      <w:bookmarkEnd w:id="21"/>
      <w:bookmarkEnd w:id="22"/>
    </w:p>
    <w:p>
      <w:pPr>
        <w:numPr>
          <w:ilvl w:val="2"/>
          <w:numId w:val="1"/>
        </w:numPr>
        <w:spacing w:line="360" w:lineRule="auto"/>
        <w:jc w:val="left"/>
        <w:rPr>
          <w:rFonts w:ascii="宋体" w:hAnsi="宋体" w:cs="宋体"/>
          <w:kern w:val="1"/>
          <w:szCs w:val="21"/>
          <w:highlight w:val="none"/>
        </w:rPr>
      </w:pPr>
      <w:r>
        <w:rPr>
          <w:rFonts w:hint="eastAsia" w:ascii="宋体" w:hAnsi="宋体" w:cs="宋体"/>
          <w:kern w:val="1"/>
          <w:szCs w:val="21"/>
          <w:highlight w:val="none"/>
        </w:rPr>
        <w:t>开标后，直至授予中标人合同为止，凡属于对资格审查文件和投标文件的审查、澄清、评价和比较有关的资料以及中标候选人的推荐情况，与评标有关的其他任何情况均严格保密。</w:t>
      </w:r>
    </w:p>
    <w:p>
      <w:pPr>
        <w:numPr>
          <w:ilvl w:val="2"/>
          <w:numId w:val="1"/>
        </w:numPr>
        <w:spacing w:line="360" w:lineRule="auto"/>
        <w:jc w:val="left"/>
        <w:rPr>
          <w:rFonts w:ascii="宋体" w:hAnsi="宋体" w:cs="宋体"/>
          <w:kern w:val="1"/>
          <w:szCs w:val="21"/>
          <w:highlight w:val="none"/>
        </w:rPr>
      </w:pPr>
      <w:r>
        <w:rPr>
          <w:rFonts w:hint="eastAsia" w:ascii="宋体" w:hAnsi="宋体" w:cs="宋体"/>
          <w:kern w:val="1"/>
          <w:szCs w:val="21"/>
          <w:highlight w:val="none"/>
        </w:rPr>
        <w:t>在资格审查文件和投标文件的评审和比较、中标候选人推荐以及授予合同的过程中，投标人向招标人和评标委员会施加影响的任何行为，都将会导致其投标被拒绝。</w:t>
      </w:r>
    </w:p>
    <w:p>
      <w:pPr>
        <w:numPr>
          <w:ilvl w:val="2"/>
          <w:numId w:val="1"/>
        </w:numPr>
        <w:spacing w:line="360" w:lineRule="auto"/>
        <w:jc w:val="left"/>
        <w:rPr>
          <w:rFonts w:ascii="宋体" w:hAnsi="宋体" w:cs="宋体"/>
          <w:kern w:val="1"/>
          <w:szCs w:val="21"/>
          <w:highlight w:val="none"/>
        </w:rPr>
      </w:pPr>
      <w:r>
        <w:rPr>
          <w:rFonts w:hint="eastAsia" w:ascii="宋体" w:hAnsi="宋体" w:cs="宋体"/>
          <w:kern w:val="1"/>
          <w:szCs w:val="21"/>
          <w:highlight w:val="none"/>
        </w:rPr>
        <w:t>中标人确定后，招标人不对未中标人就评标过程以及未能中标原因作出任何解释。未中标人不得向评标委员会组成人员或其他有关人员索问评标过程的情况和材料。</w:t>
      </w:r>
    </w:p>
    <w:p>
      <w:pPr>
        <w:numPr>
          <w:ilvl w:val="0"/>
          <w:numId w:val="1"/>
        </w:numPr>
        <w:spacing w:line="360" w:lineRule="auto"/>
        <w:rPr>
          <w:rFonts w:ascii="宋体" w:hAnsi="宋体" w:cs="宋体"/>
          <w:b/>
          <w:bCs/>
          <w:sz w:val="24"/>
          <w:highlight w:val="none"/>
          <w:lang w:val="zh-CN"/>
        </w:rPr>
      </w:pPr>
      <w:bookmarkStart w:id="23" w:name="_Toc7746"/>
      <w:bookmarkEnd w:id="23"/>
      <w:bookmarkStart w:id="24" w:name="_Toc27077"/>
      <w:bookmarkEnd w:id="24"/>
      <w:bookmarkStart w:id="25" w:name="_Toc18404"/>
      <w:bookmarkStart w:id="26" w:name="_Toc5620334"/>
      <w:r>
        <w:rPr>
          <w:rFonts w:hint="eastAsia" w:ascii="宋体" w:hAnsi="宋体"/>
          <w:b/>
          <w:bCs/>
          <w:highlight w:val="none"/>
        </w:rPr>
        <w:t>定标</w:t>
      </w:r>
    </w:p>
    <w:p>
      <w:pPr>
        <w:numPr>
          <w:ilvl w:val="1"/>
          <w:numId w:val="1"/>
        </w:numPr>
        <w:spacing w:line="360" w:lineRule="auto"/>
        <w:outlineLvl w:val="2"/>
        <w:rPr>
          <w:rFonts w:ascii="宋体" w:hAnsi="宋体"/>
          <w:b/>
          <w:bCs/>
          <w:szCs w:val="21"/>
          <w:highlight w:val="none"/>
        </w:rPr>
      </w:pPr>
      <w:r>
        <w:rPr>
          <w:rFonts w:hint="eastAsia" w:ascii="宋体" w:hAnsi="宋体"/>
          <w:b/>
          <w:bCs/>
          <w:szCs w:val="21"/>
          <w:highlight w:val="none"/>
        </w:rPr>
        <w:t>中标候选人公示</w:t>
      </w:r>
    </w:p>
    <w:p>
      <w:pPr>
        <w:spacing w:line="360" w:lineRule="auto"/>
        <w:ind w:left="567"/>
        <w:jc w:val="left"/>
        <w:rPr>
          <w:rFonts w:ascii="宋体" w:hAnsi="宋体" w:cs="宋体"/>
          <w:kern w:val="1"/>
          <w:szCs w:val="21"/>
          <w:highlight w:val="none"/>
        </w:rPr>
      </w:pPr>
      <w:r>
        <w:rPr>
          <w:rFonts w:hint="eastAsia" w:ascii="宋体" w:hAnsi="宋体" w:cs="宋体"/>
          <w:kern w:val="1"/>
          <w:highlight w:val="none"/>
        </w:rPr>
        <w:t>招标人在指定媒介公示中标候选人</w:t>
      </w:r>
      <w:r>
        <w:rPr>
          <w:rFonts w:hint="eastAsia" w:ascii="宋体" w:hAnsi="宋体" w:cs="宋体"/>
          <w:kern w:val="1"/>
          <w:szCs w:val="21"/>
          <w:highlight w:val="none"/>
        </w:rPr>
        <w:t>。</w:t>
      </w:r>
    </w:p>
    <w:p>
      <w:pPr>
        <w:numPr>
          <w:ilvl w:val="1"/>
          <w:numId w:val="1"/>
        </w:numPr>
        <w:spacing w:line="360" w:lineRule="auto"/>
        <w:outlineLvl w:val="2"/>
        <w:rPr>
          <w:rFonts w:ascii="宋体" w:hAnsi="宋体"/>
          <w:b/>
          <w:bCs/>
          <w:szCs w:val="21"/>
          <w:highlight w:val="none"/>
        </w:rPr>
      </w:pPr>
      <w:r>
        <w:rPr>
          <w:rFonts w:hint="eastAsia" w:ascii="宋体" w:hAnsi="宋体"/>
          <w:b/>
          <w:bCs/>
          <w:szCs w:val="21"/>
          <w:highlight w:val="none"/>
        </w:rPr>
        <w:t>定标方式</w:t>
      </w:r>
      <w:bookmarkEnd w:id="25"/>
      <w:bookmarkEnd w:id="26"/>
    </w:p>
    <w:p>
      <w:pPr>
        <w:numPr>
          <w:ilvl w:val="2"/>
          <w:numId w:val="1"/>
        </w:numPr>
        <w:spacing w:line="360" w:lineRule="auto"/>
        <w:jc w:val="left"/>
        <w:rPr>
          <w:rFonts w:ascii="宋体" w:hAnsi="宋体" w:cs="宋体"/>
          <w:kern w:val="1"/>
          <w:szCs w:val="21"/>
          <w:highlight w:val="none"/>
        </w:rPr>
      </w:pPr>
      <w:r>
        <w:rPr>
          <w:rFonts w:hint="eastAsia" w:ascii="宋体" w:hAnsi="宋体" w:cs="宋体"/>
          <w:kern w:val="1"/>
          <w:szCs w:val="21"/>
          <w:highlight w:val="none"/>
        </w:rPr>
        <w:t>招标人依据评标委员会推荐的中标候选人确定中标人。</w:t>
      </w:r>
    </w:p>
    <w:p>
      <w:pPr>
        <w:numPr>
          <w:ilvl w:val="2"/>
          <w:numId w:val="1"/>
        </w:numPr>
        <w:spacing w:line="360" w:lineRule="auto"/>
        <w:jc w:val="left"/>
        <w:rPr>
          <w:rFonts w:ascii="宋体" w:hAnsi="宋体" w:cs="宋体"/>
          <w:kern w:val="1"/>
          <w:szCs w:val="21"/>
          <w:highlight w:val="none"/>
        </w:rPr>
      </w:pPr>
      <w:r>
        <w:rPr>
          <w:rFonts w:hint="eastAsia" w:ascii="宋体" w:hAnsi="宋体" w:cs="宋体"/>
          <w:kern w:val="1"/>
          <w:szCs w:val="21"/>
          <w:highlight w:val="none"/>
        </w:rPr>
        <w:t>招标人应当确定排名第一的中标候选人为中标人，排名第一的中标候选人放弃中标、因不可抗力不能履行合同等情形，不符合中标条件的，招标人可以按照评标委员会提出的中标候选人名单排序依次确定其他中标候选人为中标人，也可以重新招标。</w:t>
      </w:r>
    </w:p>
    <w:p>
      <w:pPr>
        <w:numPr>
          <w:ilvl w:val="1"/>
          <w:numId w:val="1"/>
        </w:numPr>
        <w:spacing w:line="360" w:lineRule="auto"/>
        <w:outlineLvl w:val="2"/>
        <w:rPr>
          <w:rFonts w:ascii="宋体" w:hAnsi="宋体"/>
          <w:b/>
          <w:bCs/>
          <w:szCs w:val="21"/>
          <w:highlight w:val="none"/>
        </w:rPr>
      </w:pPr>
      <w:bookmarkStart w:id="27" w:name="_Toc5620336"/>
      <w:bookmarkStart w:id="28" w:name="_Toc28278"/>
      <w:r>
        <w:rPr>
          <w:rFonts w:hint="eastAsia" w:ascii="宋体" w:hAnsi="宋体"/>
          <w:b/>
          <w:bCs/>
          <w:szCs w:val="21"/>
          <w:highlight w:val="none"/>
        </w:rPr>
        <w:t>中标通知</w:t>
      </w:r>
      <w:bookmarkEnd w:id="27"/>
      <w:bookmarkEnd w:id="28"/>
    </w:p>
    <w:p>
      <w:pPr>
        <w:numPr>
          <w:ilvl w:val="2"/>
          <w:numId w:val="1"/>
        </w:numPr>
        <w:spacing w:line="360" w:lineRule="auto"/>
        <w:jc w:val="left"/>
        <w:rPr>
          <w:rFonts w:ascii="宋体" w:hAnsi="宋体" w:cs="宋体"/>
          <w:kern w:val="1"/>
          <w:szCs w:val="21"/>
          <w:highlight w:val="none"/>
        </w:rPr>
      </w:pPr>
      <w:r>
        <w:rPr>
          <w:rFonts w:hint="eastAsia" w:ascii="宋体" w:hAnsi="宋体" w:cs="宋体"/>
          <w:kern w:val="1"/>
          <w:szCs w:val="21"/>
          <w:highlight w:val="none"/>
        </w:rPr>
        <w:t>评标公示后，在本章规定的投标有效期内，</w:t>
      </w:r>
      <w:r>
        <w:rPr>
          <w:rFonts w:hint="eastAsia" w:ascii="宋体" w:hAnsi="宋体" w:cs="宋体"/>
          <w:kern w:val="1"/>
          <w:highlight w:val="none"/>
        </w:rPr>
        <w:t>招标人以书面形式向中标人发出中标通知书</w:t>
      </w:r>
      <w:r>
        <w:rPr>
          <w:rFonts w:hint="eastAsia" w:ascii="宋体" w:hAnsi="宋体" w:cs="宋体"/>
          <w:kern w:val="1"/>
          <w:szCs w:val="21"/>
          <w:highlight w:val="none"/>
        </w:rPr>
        <w:t>。</w:t>
      </w:r>
    </w:p>
    <w:p>
      <w:pPr>
        <w:numPr>
          <w:ilvl w:val="0"/>
          <w:numId w:val="1"/>
        </w:numPr>
        <w:spacing w:line="360" w:lineRule="auto"/>
        <w:rPr>
          <w:rFonts w:ascii="宋体" w:hAnsi="宋体"/>
          <w:b/>
          <w:bCs/>
          <w:highlight w:val="none"/>
          <w:lang w:val="zh-CN"/>
        </w:rPr>
      </w:pPr>
      <w:r>
        <w:rPr>
          <w:rFonts w:hint="eastAsia" w:ascii="宋体" w:hAnsi="宋体"/>
          <w:b/>
          <w:bCs/>
          <w:highlight w:val="none"/>
          <w:lang w:val="zh-CN"/>
        </w:rPr>
        <w:t>合同授予</w:t>
      </w:r>
    </w:p>
    <w:p>
      <w:pPr>
        <w:numPr>
          <w:ilvl w:val="1"/>
          <w:numId w:val="1"/>
        </w:numPr>
        <w:spacing w:line="360" w:lineRule="auto"/>
        <w:outlineLvl w:val="2"/>
        <w:rPr>
          <w:rFonts w:ascii="宋体" w:hAnsi="宋体"/>
          <w:b/>
          <w:bCs/>
          <w:szCs w:val="21"/>
          <w:highlight w:val="none"/>
        </w:rPr>
      </w:pPr>
      <w:bookmarkStart w:id="29" w:name="_Toc18213"/>
      <w:bookmarkStart w:id="30" w:name="_Toc5620338"/>
      <w:r>
        <w:rPr>
          <w:rFonts w:hint="eastAsia" w:ascii="宋体" w:hAnsi="宋体"/>
          <w:b/>
          <w:bCs/>
          <w:szCs w:val="21"/>
          <w:highlight w:val="none"/>
        </w:rPr>
        <w:t>签订合同</w:t>
      </w:r>
      <w:bookmarkEnd w:id="29"/>
      <w:bookmarkEnd w:id="30"/>
    </w:p>
    <w:p>
      <w:pPr>
        <w:numPr>
          <w:ilvl w:val="2"/>
          <w:numId w:val="1"/>
        </w:numPr>
        <w:spacing w:line="360" w:lineRule="auto"/>
        <w:jc w:val="left"/>
        <w:rPr>
          <w:rFonts w:ascii="宋体" w:hAnsi="宋体" w:cs="宋体"/>
          <w:kern w:val="1"/>
          <w:highlight w:val="none"/>
        </w:rPr>
      </w:pPr>
      <w:r>
        <w:rPr>
          <w:rFonts w:hint="eastAsia" w:ascii="宋体" w:hAnsi="宋体" w:cs="宋体"/>
          <w:kern w:val="1"/>
          <w:highlight w:val="none"/>
        </w:rPr>
        <w:t xml:space="preserve">招标人和中标人应当自中标通知书发出之日起30天内，根据招标文件和中标人的投标文件订立书面合同。中标人无正当理由拒签合同的，招标人取消其中标资格；给招标人造成损失的，中标人还应当予以赔偿。 </w:t>
      </w:r>
      <w:bookmarkStart w:id="31" w:name="_Toc15670"/>
      <w:bookmarkEnd w:id="31"/>
      <w:bookmarkStart w:id="32" w:name="_Toc443505830"/>
      <w:bookmarkEnd w:id="32"/>
      <w:bookmarkStart w:id="33" w:name="_Toc11555"/>
      <w:bookmarkEnd w:id="33"/>
    </w:p>
    <w:p>
      <w:pPr>
        <w:numPr>
          <w:ilvl w:val="2"/>
          <w:numId w:val="1"/>
        </w:numPr>
        <w:spacing w:line="360" w:lineRule="auto"/>
        <w:jc w:val="left"/>
        <w:rPr>
          <w:rFonts w:ascii="宋体" w:hAnsi="宋体" w:cs="宋体"/>
          <w:kern w:val="1"/>
          <w:highlight w:val="none"/>
        </w:rPr>
      </w:pPr>
      <w:r>
        <w:rPr>
          <w:rFonts w:hint="eastAsia" w:ascii="宋体" w:hAnsi="宋体" w:cs="宋体"/>
          <w:kern w:val="1"/>
          <w:highlight w:val="none"/>
        </w:rPr>
        <w:t>发出中标通知书后，招标人无正当理由拒签合同，给中标人造成损失的，还应当赔偿损失。</w:t>
      </w:r>
    </w:p>
    <w:p>
      <w:pPr>
        <w:numPr>
          <w:ilvl w:val="0"/>
          <w:numId w:val="1"/>
        </w:numPr>
        <w:spacing w:line="360" w:lineRule="auto"/>
        <w:rPr>
          <w:rFonts w:ascii="宋体" w:hAnsi="宋体"/>
          <w:b/>
          <w:bCs/>
          <w:highlight w:val="none"/>
          <w:lang w:val="zh-CN"/>
        </w:rPr>
      </w:pPr>
      <w:bookmarkStart w:id="34" w:name="_Toc30835"/>
      <w:bookmarkEnd w:id="34"/>
      <w:bookmarkStart w:id="35" w:name="_Toc21320"/>
      <w:bookmarkEnd w:id="35"/>
      <w:bookmarkStart w:id="36" w:name="_Toc443505831"/>
      <w:bookmarkEnd w:id="36"/>
      <w:bookmarkStart w:id="37" w:name="_Toc5620339"/>
      <w:bookmarkStart w:id="38" w:name="_Toc9984"/>
      <w:r>
        <w:rPr>
          <w:rFonts w:hint="eastAsia" w:ascii="宋体" w:hAnsi="宋体"/>
          <w:b/>
          <w:bCs/>
          <w:highlight w:val="none"/>
          <w:lang w:val="zh-CN"/>
        </w:rPr>
        <w:t>纪律和监督</w:t>
      </w:r>
      <w:bookmarkEnd w:id="37"/>
      <w:bookmarkEnd w:id="38"/>
    </w:p>
    <w:p>
      <w:pPr>
        <w:numPr>
          <w:ilvl w:val="1"/>
          <w:numId w:val="1"/>
        </w:numPr>
        <w:spacing w:line="360" w:lineRule="auto"/>
        <w:outlineLvl w:val="2"/>
        <w:rPr>
          <w:rFonts w:ascii="宋体" w:hAnsi="宋体" w:cs="宋体"/>
          <w:b/>
          <w:bCs/>
          <w:kern w:val="1"/>
          <w:szCs w:val="21"/>
          <w:highlight w:val="none"/>
          <w:lang w:val="zh-CN"/>
        </w:rPr>
      </w:pPr>
      <w:bookmarkStart w:id="39" w:name="_Toc443505832"/>
      <w:bookmarkEnd w:id="39"/>
      <w:bookmarkStart w:id="40" w:name="_Toc7252"/>
      <w:bookmarkEnd w:id="40"/>
      <w:bookmarkStart w:id="41" w:name="_Toc30367"/>
      <w:bookmarkEnd w:id="41"/>
      <w:bookmarkStart w:id="42" w:name="_Toc5620340"/>
      <w:r>
        <w:rPr>
          <w:rFonts w:hint="eastAsia" w:ascii="宋体" w:hAnsi="宋体" w:cs="宋体"/>
          <w:b/>
          <w:bCs/>
          <w:kern w:val="1"/>
          <w:szCs w:val="21"/>
          <w:highlight w:val="none"/>
          <w:lang w:val="zh-CN"/>
        </w:rPr>
        <w:t>对招标人的纪律要求</w:t>
      </w:r>
      <w:bookmarkEnd w:id="42"/>
    </w:p>
    <w:p>
      <w:pPr>
        <w:spacing w:line="360" w:lineRule="auto"/>
        <w:ind w:firstLine="420"/>
        <w:rPr>
          <w:rFonts w:ascii="宋体" w:hAnsi="宋体" w:cs="宋体"/>
          <w:kern w:val="1"/>
          <w:highlight w:val="none"/>
        </w:rPr>
      </w:pPr>
      <w:r>
        <w:rPr>
          <w:rFonts w:hint="eastAsia" w:ascii="宋体" w:hAnsi="宋体" w:cs="宋体"/>
          <w:kern w:val="1"/>
          <w:highlight w:val="none"/>
        </w:rPr>
        <w:t>招标人不得泄漏招标投标活动中应当保密的情况和资料，不得与投标人串通损害国家利益、社会公共利益或者他人合法权益。</w:t>
      </w:r>
    </w:p>
    <w:p>
      <w:pPr>
        <w:numPr>
          <w:ilvl w:val="1"/>
          <w:numId w:val="1"/>
        </w:numPr>
        <w:spacing w:line="360" w:lineRule="auto"/>
        <w:outlineLvl w:val="2"/>
        <w:rPr>
          <w:rFonts w:ascii="宋体" w:hAnsi="宋体" w:cs="宋体"/>
          <w:b/>
          <w:bCs/>
          <w:kern w:val="1"/>
          <w:highlight w:val="none"/>
        </w:rPr>
      </w:pPr>
      <w:r>
        <w:rPr>
          <w:rFonts w:hint="eastAsia" w:ascii="宋体" w:hAnsi="宋体" w:cs="宋体"/>
          <w:b/>
          <w:bCs/>
          <w:kern w:val="1"/>
          <w:szCs w:val="21"/>
          <w:highlight w:val="none"/>
        </w:rPr>
        <w:t>对投标人的纪律要求</w:t>
      </w:r>
    </w:p>
    <w:p>
      <w:pPr>
        <w:spacing w:line="360" w:lineRule="auto"/>
        <w:ind w:firstLine="420"/>
        <w:rPr>
          <w:rFonts w:ascii="宋体" w:hAnsi="宋体" w:cs="宋体"/>
          <w:kern w:val="1"/>
          <w:highlight w:val="none"/>
        </w:rPr>
      </w:pPr>
      <w:r>
        <w:rPr>
          <w:rFonts w:hint="eastAsia" w:ascii="宋体" w:hAnsi="宋体" w:cs="宋体"/>
          <w:kern w:val="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numPr>
          <w:ilvl w:val="1"/>
          <w:numId w:val="1"/>
        </w:numPr>
        <w:spacing w:line="360" w:lineRule="auto"/>
        <w:outlineLvl w:val="2"/>
        <w:rPr>
          <w:rFonts w:ascii="宋体" w:hAnsi="宋体" w:cs="宋体"/>
          <w:b/>
          <w:bCs/>
          <w:kern w:val="1"/>
          <w:highlight w:val="none"/>
        </w:rPr>
      </w:pPr>
      <w:r>
        <w:rPr>
          <w:rFonts w:hint="eastAsia" w:ascii="宋体" w:hAnsi="宋体" w:cs="宋体"/>
          <w:b/>
          <w:bCs/>
          <w:kern w:val="1"/>
          <w:highlight w:val="none"/>
        </w:rPr>
        <w:t>对评标委员会成员的纪律要求</w:t>
      </w:r>
    </w:p>
    <w:p>
      <w:pPr>
        <w:spacing w:line="360" w:lineRule="auto"/>
        <w:ind w:firstLine="420"/>
        <w:rPr>
          <w:rFonts w:ascii="宋体" w:hAnsi="宋体" w:cs="宋体"/>
          <w:kern w:val="1"/>
          <w:highlight w:val="none"/>
        </w:rPr>
      </w:pPr>
      <w:r>
        <w:rPr>
          <w:rFonts w:hint="eastAsia" w:ascii="宋体" w:hAnsi="宋体" w:cs="宋体"/>
          <w:kern w:val="1"/>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招标文件中没有规定的评审因素和标准进行评标。</w:t>
      </w:r>
    </w:p>
    <w:p>
      <w:pPr>
        <w:numPr>
          <w:ilvl w:val="1"/>
          <w:numId w:val="1"/>
        </w:numPr>
        <w:spacing w:line="360" w:lineRule="auto"/>
        <w:outlineLvl w:val="2"/>
        <w:rPr>
          <w:rFonts w:ascii="宋体" w:hAnsi="宋体" w:cs="宋体"/>
          <w:b/>
          <w:bCs/>
          <w:kern w:val="1"/>
          <w:highlight w:val="none"/>
        </w:rPr>
      </w:pPr>
      <w:r>
        <w:rPr>
          <w:rFonts w:hint="eastAsia" w:ascii="宋体" w:hAnsi="宋体" w:cs="宋体"/>
          <w:b/>
          <w:bCs/>
          <w:kern w:val="1"/>
          <w:szCs w:val="21"/>
          <w:highlight w:val="none"/>
        </w:rPr>
        <w:t>对与评标活动有关的工作人员的纪律要求</w:t>
      </w:r>
    </w:p>
    <w:p>
      <w:pPr>
        <w:spacing w:line="360" w:lineRule="auto"/>
        <w:ind w:firstLine="420"/>
        <w:rPr>
          <w:rFonts w:ascii="宋体" w:hAnsi="宋体" w:cs="宋体"/>
          <w:kern w:val="1"/>
          <w:highlight w:val="none"/>
        </w:rPr>
      </w:pPr>
      <w:r>
        <w:rPr>
          <w:rFonts w:hint="eastAsia" w:ascii="宋体" w:hAnsi="宋体" w:cs="宋体"/>
          <w:kern w:val="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numPr>
          <w:ilvl w:val="1"/>
          <w:numId w:val="1"/>
        </w:numPr>
        <w:spacing w:line="360" w:lineRule="auto"/>
        <w:outlineLvl w:val="2"/>
        <w:rPr>
          <w:rFonts w:ascii="宋体" w:hAnsi="宋体" w:cs="宋体"/>
          <w:b/>
          <w:kern w:val="1"/>
          <w:highlight w:val="none"/>
        </w:rPr>
      </w:pPr>
      <w:r>
        <w:rPr>
          <w:rFonts w:hint="eastAsia" w:ascii="宋体" w:hAnsi="宋体" w:cs="宋体"/>
          <w:b/>
          <w:kern w:val="1"/>
          <w:szCs w:val="21"/>
          <w:highlight w:val="none"/>
        </w:rPr>
        <w:t>投诉</w:t>
      </w:r>
    </w:p>
    <w:p>
      <w:pPr>
        <w:spacing w:line="360" w:lineRule="auto"/>
        <w:ind w:firstLine="420"/>
        <w:rPr>
          <w:rFonts w:ascii="宋体" w:hAnsi="宋体" w:cs="宋体"/>
          <w:kern w:val="1"/>
          <w:highlight w:val="none"/>
        </w:rPr>
      </w:pPr>
      <w:r>
        <w:rPr>
          <w:rFonts w:hint="eastAsia" w:ascii="宋体" w:hAnsi="宋体" w:cs="宋体"/>
          <w:kern w:val="1"/>
          <w:highlight w:val="none"/>
        </w:rPr>
        <w:t>投标人和其他利害关系人认为本次招标活动违反法律、法规和规章规定的，有权向有关行政监督部门投诉。</w:t>
      </w:r>
    </w:p>
    <w:p>
      <w:pPr>
        <w:numPr>
          <w:ilvl w:val="0"/>
          <w:numId w:val="1"/>
        </w:numPr>
        <w:spacing w:line="360" w:lineRule="auto"/>
        <w:rPr>
          <w:rFonts w:ascii="宋体" w:hAnsi="宋体"/>
          <w:b/>
          <w:bCs/>
          <w:highlight w:val="none"/>
          <w:lang w:val="zh-CN"/>
        </w:rPr>
      </w:pPr>
      <w:bookmarkStart w:id="43" w:name="_Toc5620343"/>
      <w:bookmarkStart w:id="44" w:name="_Toc32213"/>
      <w:r>
        <w:rPr>
          <w:rFonts w:hint="eastAsia" w:ascii="宋体" w:hAnsi="宋体"/>
          <w:b/>
          <w:bCs/>
          <w:highlight w:val="none"/>
          <w:lang w:val="zh-CN"/>
        </w:rPr>
        <w:t>其他</w:t>
      </w:r>
      <w:bookmarkEnd w:id="43"/>
      <w:bookmarkEnd w:id="44"/>
    </w:p>
    <w:p>
      <w:pPr>
        <w:numPr>
          <w:ilvl w:val="1"/>
          <w:numId w:val="1"/>
        </w:numPr>
        <w:spacing w:line="360" w:lineRule="auto"/>
        <w:rPr>
          <w:rFonts w:ascii="宋体" w:hAnsi="宋体" w:cs="宋体"/>
          <w:kern w:val="1"/>
          <w:highlight w:val="none"/>
        </w:rPr>
      </w:pPr>
      <w:bookmarkStart w:id="45" w:name="_Toc5620344"/>
      <w:r>
        <w:rPr>
          <w:rFonts w:hint="eastAsia" w:ascii="宋体" w:hAnsi="宋体" w:cs="宋体"/>
          <w:kern w:val="1"/>
          <w:highlight w:val="none"/>
        </w:rPr>
        <w:t>投标人按招标文件要求递交的所有复印件,若存在虚假材料，一经发现或被投诉，经确认证实后，招标人将取消其中标资格，并上报给相关主管部门予以通报。</w:t>
      </w:r>
      <w:bookmarkEnd w:id="45"/>
    </w:p>
    <w:p>
      <w:pPr>
        <w:numPr>
          <w:ilvl w:val="1"/>
          <w:numId w:val="1"/>
        </w:numPr>
        <w:spacing w:line="360" w:lineRule="auto"/>
        <w:rPr>
          <w:rFonts w:ascii="宋体" w:hAnsi="宋体"/>
          <w:highlight w:val="none"/>
        </w:rPr>
      </w:pPr>
      <w:r>
        <w:rPr>
          <w:rFonts w:hint="eastAsia" w:ascii="宋体" w:hAnsi="宋体" w:cs="宋体"/>
          <w:kern w:val="1"/>
          <w:highlight w:val="none"/>
        </w:rPr>
        <w:t>投标人如在本项目中存在串通投标、弄虚作假、行贿情形的，中标无效，该投标人将被招标人列入黑名单并限制其投标。行政监督部门将对其违法行为进行政处罚并通报。</w:t>
      </w:r>
    </w:p>
    <w:p>
      <w:pPr>
        <w:spacing w:line="360" w:lineRule="auto"/>
        <w:ind w:left="283"/>
        <w:outlineLvl w:val="2"/>
        <w:rPr>
          <w:rFonts w:ascii="宋体" w:hAnsi="宋体"/>
          <w:b/>
          <w:bCs/>
          <w:highlight w:val="none"/>
        </w:rPr>
      </w:pPr>
      <w:r>
        <w:rPr>
          <w:rFonts w:hint="eastAsia" w:ascii="宋体" w:hAnsi="宋体"/>
          <w:b/>
          <w:bCs/>
          <w:highlight w:val="none"/>
        </w:rPr>
        <w:t>附件</w:t>
      </w:r>
    </w:p>
    <w:p>
      <w:pPr>
        <w:spacing w:line="360" w:lineRule="auto"/>
        <w:ind w:firstLine="210" w:firstLineChars="100"/>
        <w:rPr>
          <w:rFonts w:ascii="宋体" w:hAnsi="宋体"/>
          <w:highlight w:val="none"/>
        </w:rPr>
      </w:pPr>
      <w:r>
        <w:rPr>
          <w:rFonts w:hint="eastAsia" w:ascii="宋体" w:hAnsi="宋体"/>
          <w:highlight w:val="none"/>
        </w:rPr>
        <w:t>1.附件1资格和符合性审查表</w:t>
      </w:r>
    </w:p>
    <w:p>
      <w:pPr>
        <w:spacing w:line="360" w:lineRule="auto"/>
        <w:ind w:firstLine="210" w:firstLineChars="100"/>
        <w:rPr>
          <w:rFonts w:ascii="宋体" w:hAnsi="宋体"/>
          <w:highlight w:val="none"/>
        </w:rPr>
      </w:pPr>
      <w:r>
        <w:rPr>
          <w:rFonts w:hint="eastAsia" w:ascii="宋体" w:hAnsi="宋体"/>
          <w:highlight w:val="none"/>
        </w:rPr>
        <w:t>2.附件2综合评审表</w:t>
      </w:r>
    </w:p>
    <w:p>
      <w:pPr>
        <w:spacing w:line="360" w:lineRule="auto"/>
        <w:ind w:firstLine="240" w:firstLineChars="100"/>
        <w:rPr>
          <w:rFonts w:ascii="宋体" w:hAnsi="宋体"/>
          <w:sz w:val="24"/>
          <w:highlight w:val="none"/>
        </w:rPr>
      </w:pPr>
      <w:r>
        <w:rPr>
          <w:rFonts w:ascii="宋体" w:hAnsi="宋体"/>
          <w:sz w:val="24"/>
          <w:highlight w:val="none"/>
        </w:rPr>
        <w:br w:type="page"/>
      </w:r>
      <w:r>
        <w:rPr>
          <w:rFonts w:hint="eastAsia" w:ascii="宋体" w:hAnsi="宋体"/>
          <w:sz w:val="24"/>
          <w:highlight w:val="none"/>
        </w:rPr>
        <w:t>附件1：</w:t>
      </w:r>
    </w:p>
    <w:p>
      <w:pPr>
        <w:tabs>
          <w:tab w:val="left" w:pos="992"/>
        </w:tabs>
        <w:spacing w:line="360" w:lineRule="auto"/>
        <w:jc w:val="center"/>
        <w:rPr>
          <w:rFonts w:ascii="宋体" w:hAnsi="宋体"/>
          <w:sz w:val="24"/>
          <w:highlight w:val="none"/>
        </w:rPr>
      </w:pPr>
      <w:r>
        <w:rPr>
          <w:rFonts w:hint="eastAsia" w:ascii="宋体" w:hAnsi="宋体"/>
          <w:sz w:val="24"/>
          <w:highlight w:val="none"/>
        </w:rPr>
        <w:t>资格和符合性审查表</w:t>
      </w:r>
    </w:p>
    <w:p>
      <w:pPr>
        <w:ind w:firstLine="210" w:firstLineChars="100"/>
        <w:rPr>
          <w:rFonts w:ascii="宋体" w:hAnsi="宋体"/>
          <w:szCs w:val="21"/>
          <w:highlight w:val="none"/>
        </w:rPr>
      </w:pPr>
      <w:r>
        <w:rPr>
          <w:rFonts w:hint="eastAsia" w:ascii="宋体" w:hAnsi="宋体"/>
          <w:szCs w:val="21"/>
          <w:highlight w:val="none"/>
        </w:rPr>
        <w:t xml:space="preserve">项目名称：                                                                        </w:t>
      </w:r>
    </w:p>
    <w:tbl>
      <w:tblPr>
        <w:tblStyle w:val="26"/>
        <w:tblW w:w="11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24"/>
        <w:gridCol w:w="1107"/>
        <w:gridCol w:w="6462"/>
        <w:gridCol w:w="978"/>
        <w:gridCol w:w="978"/>
        <w:gridCol w:w="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4" w:hRule="atLeast"/>
          <w:jc w:val="center"/>
        </w:trPr>
        <w:tc>
          <w:tcPr>
            <w:tcW w:w="524" w:type="dxa"/>
            <w:tcMar>
              <w:top w:w="17" w:type="dxa"/>
              <w:left w:w="17" w:type="dxa"/>
              <w:bottom w:w="0" w:type="dxa"/>
              <w:right w:w="17" w:type="dxa"/>
            </w:tcMar>
            <w:vAlign w:val="center"/>
          </w:tcPr>
          <w:p>
            <w:pPr>
              <w:jc w:val="center"/>
              <w:rPr>
                <w:rFonts w:ascii="宋体" w:hAnsi="宋体"/>
                <w:b/>
                <w:bCs/>
                <w:szCs w:val="21"/>
                <w:highlight w:val="none"/>
              </w:rPr>
            </w:pPr>
            <w:r>
              <w:rPr>
                <w:rFonts w:hint="eastAsia" w:ascii="宋体" w:hAnsi="宋体"/>
                <w:b/>
                <w:bCs/>
                <w:szCs w:val="21"/>
                <w:highlight w:val="none"/>
              </w:rPr>
              <w:t>序号</w:t>
            </w:r>
          </w:p>
        </w:tc>
        <w:tc>
          <w:tcPr>
            <w:tcW w:w="1107" w:type="dxa"/>
            <w:tcMar>
              <w:top w:w="17" w:type="dxa"/>
              <w:left w:w="17" w:type="dxa"/>
              <w:bottom w:w="0" w:type="dxa"/>
              <w:right w:w="17" w:type="dxa"/>
            </w:tcMar>
            <w:vAlign w:val="center"/>
          </w:tcPr>
          <w:p>
            <w:pPr>
              <w:jc w:val="center"/>
              <w:rPr>
                <w:rFonts w:ascii="宋体" w:hAnsi="宋体"/>
                <w:b/>
                <w:bCs/>
                <w:szCs w:val="21"/>
                <w:highlight w:val="none"/>
              </w:rPr>
            </w:pPr>
            <w:r>
              <w:rPr>
                <w:rFonts w:hint="eastAsia" w:ascii="宋体" w:hAnsi="宋体"/>
                <w:b/>
                <w:bCs/>
                <w:szCs w:val="21"/>
                <w:highlight w:val="none"/>
              </w:rPr>
              <w:t>审查项目</w:t>
            </w:r>
          </w:p>
        </w:tc>
        <w:tc>
          <w:tcPr>
            <w:tcW w:w="6462" w:type="dxa"/>
            <w:tcMar>
              <w:top w:w="17" w:type="dxa"/>
              <w:left w:w="17" w:type="dxa"/>
              <w:bottom w:w="0" w:type="dxa"/>
              <w:right w:w="17" w:type="dxa"/>
            </w:tcMar>
            <w:vAlign w:val="center"/>
          </w:tcPr>
          <w:p>
            <w:pPr>
              <w:jc w:val="center"/>
              <w:rPr>
                <w:rFonts w:ascii="宋体" w:hAnsi="宋体"/>
                <w:b/>
                <w:bCs/>
                <w:szCs w:val="21"/>
                <w:highlight w:val="none"/>
              </w:rPr>
            </w:pPr>
            <w:r>
              <w:rPr>
                <w:rFonts w:hint="eastAsia" w:ascii="宋体" w:hAnsi="宋体"/>
                <w:b/>
                <w:bCs/>
                <w:szCs w:val="21"/>
                <w:highlight w:val="none"/>
              </w:rPr>
              <w:t>审查要求</w:t>
            </w:r>
          </w:p>
        </w:tc>
        <w:tc>
          <w:tcPr>
            <w:tcW w:w="978" w:type="dxa"/>
            <w:tcMar>
              <w:top w:w="17" w:type="dxa"/>
              <w:left w:w="17" w:type="dxa"/>
              <w:bottom w:w="0" w:type="dxa"/>
              <w:right w:w="17" w:type="dxa"/>
            </w:tcMar>
            <w:vAlign w:val="center"/>
          </w:tcPr>
          <w:p>
            <w:pPr>
              <w:jc w:val="center"/>
              <w:rPr>
                <w:rFonts w:ascii="宋体" w:hAnsi="宋体"/>
                <w:b/>
                <w:bCs/>
                <w:szCs w:val="21"/>
                <w:highlight w:val="none"/>
              </w:rPr>
            </w:pPr>
            <w:r>
              <w:rPr>
                <w:rFonts w:hint="eastAsia"/>
                <w:b/>
                <w:bCs/>
                <w:highlight w:val="none"/>
              </w:rPr>
              <w:t>投标单位A</w:t>
            </w:r>
          </w:p>
        </w:tc>
        <w:tc>
          <w:tcPr>
            <w:tcW w:w="978" w:type="dxa"/>
            <w:tcMar>
              <w:top w:w="17" w:type="dxa"/>
              <w:left w:w="17" w:type="dxa"/>
              <w:bottom w:w="0" w:type="dxa"/>
              <w:right w:w="17" w:type="dxa"/>
            </w:tcMar>
            <w:vAlign w:val="center"/>
          </w:tcPr>
          <w:p>
            <w:pPr>
              <w:jc w:val="center"/>
              <w:rPr>
                <w:rFonts w:ascii="宋体" w:hAnsi="宋体"/>
                <w:b/>
                <w:bCs/>
                <w:szCs w:val="21"/>
                <w:highlight w:val="none"/>
              </w:rPr>
            </w:pPr>
            <w:r>
              <w:rPr>
                <w:rFonts w:hint="eastAsia"/>
                <w:b/>
                <w:bCs/>
                <w:highlight w:val="none"/>
              </w:rPr>
              <w:t>投标单位B</w:t>
            </w:r>
          </w:p>
        </w:tc>
        <w:tc>
          <w:tcPr>
            <w:tcW w:w="978" w:type="dxa"/>
            <w:tcMar>
              <w:top w:w="17" w:type="dxa"/>
              <w:left w:w="17" w:type="dxa"/>
              <w:bottom w:w="0" w:type="dxa"/>
              <w:right w:w="17" w:type="dxa"/>
            </w:tcMar>
            <w:vAlign w:val="center"/>
          </w:tcPr>
          <w:p>
            <w:pPr>
              <w:jc w:val="center"/>
              <w:rPr>
                <w:rFonts w:ascii="宋体" w:hAnsi="宋体"/>
                <w:b/>
                <w:bCs/>
                <w:szCs w:val="21"/>
                <w:highlight w:val="none"/>
              </w:rPr>
            </w:pPr>
            <w:r>
              <w:rPr>
                <w:rFonts w:hint="eastAsia"/>
                <w:b/>
                <w:bCs/>
                <w:highlight w:val="none"/>
              </w:rPr>
              <w:t>投标单位C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24" w:type="dxa"/>
            <w:tcMar>
              <w:top w:w="17" w:type="dxa"/>
              <w:left w:w="17" w:type="dxa"/>
              <w:bottom w:w="0" w:type="dxa"/>
              <w:right w:w="17" w:type="dxa"/>
            </w:tcMar>
            <w:vAlign w:val="center"/>
          </w:tcPr>
          <w:p>
            <w:pPr>
              <w:jc w:val="center"/>
              <w:rPr>
                <w:rFonts w:ascii="宋体" w:hAnsi="宋体"/>
                <w:b/>
                <w:bCs/>
                <w:szCs w:val="21"/>
                <w:highlight w:val="none"/>
              </w:rPr>
            </w:pPr>
            <w:r>
              <w:rPr>
                <w:rFonts w:ascii="宋体" w:hAnsi="宋体"/>
                <w:b/>
                <w:bCs/>
                <w:szCs w:val="21"/>
                <w:highlight w:val="none"/>
              </w:rPr>
              <w:t>1</w:t>
            </w:r>
          </w:p>
        </w:tc>
        <w:tc>
          <w:tcPr>
            <w:tcW w:w="1107" w:type="dxa"/>
            <w:vMerge w:val="restart"/>
            <w:tcMar>
              <w:top w:w="17" w:type="dxa"/>
              <w:left w:w="17" w:type="dxa"/>
              <w:bottom w:w="0" w:type="dxa"/>
              <w:right w:w="17" w:type="dxa"/>
            </w:tcMar>
            <w:vAlign w:val="center"/>
          </w:tcPr>
          <w:p>
            <w:pPr>
              <w:jc w:val="center"/>
              <w:rPr>
                <w:rFonts w:ascii="宋体" w:hAnsi="宋体"/>
                <w:bCs/>
                <w:szCs w:val="21"/>
                <w:highlight w:val="none"/>
              </w:rPr>
            </w:pPr>
            <w:r>
              <w:rPr>
                <w:rFonts w:hint="eastAsia" w:ascii="宋体" w:hAnsi="宋体"/>
                <w:bCs/>
                <w:szCs w:val="21"/>
                <w:highlight w:val="none"/>
              </w:rPr>
              <w:t>符合性</w:t>
            </w:r>
          </w:p>
          <w:p>
            <w:pPr>
              <w:jc w:val="center"/>
              <w:rPr>
                <w:rFonts w:ascii="宋体" w:hAnsi="宋体"/>
                <w:bCs/>
                <w:szCs w:val="21"/>
                <w:highlight w:val="none"/>
              </w:rPr>
            </w:pPr>
            <w:r>
              <w:rPr>
                <w:rFonts w:hint="eastAsia" w:ascii="宋体" w:hAnsi="宋体"/>
                <w:bCs/>
                <w:szCs w:val="21"/>
                <w:highlight w:val="none"/>
              </w:rPr>
              <w:t>审查</w:t>
            </w:r>
          </w:p>
        </w:tc>
        <w:tc>
          <w:tcPr>
            <w:tcW w:w="6462" w:type="dxa"/>
            <w:tcMar>
              <w:top w:w="17" w:type="dxa"/>
              <w:left w:w="17" w:type="dxa"/>
              <w:bottom w:w="0" w:type="dxa"/>
              <w:right w:w="17" w:type="dxa"/>
            </w:tcMar>
            <w:vAlign w:val="center"/>
          </w:tcPr>
          <w:p>
            <w:pPr>
              <w:rPr>
                <w:rFonts w:ascii="宋体" w:hAnsi="宋体"/>
                <w:bCs/>
                <w:szCs w:val="21"/>
                <w:highlight w:val="none"/>
              </w:rPr>
            </w:pPr>
            <w:r>
              <w:rPr>
                <w:rFonts w:hint="eastAsia" w:ascii="宋体" w:hAnsi="宋体" w:cs="宋体"/>
                <w:szCs w:val="21"/>
                <w:highlight w:val="none"/>
              </w:rPr>
              <w:t>投标人名称与营业执照、资质证书一致；</w:t>
            </w:r>
          </w:p>
        </w:tc>
        <w:tc>
          <w:tcPr>
            <w:tcW w:w="978" w:type="dxa"/>
            <w:tcMar>
              <w:top w:w="17" w:type="dxa"/>
              <w:left w:w="17" w:type="dxa"/>
              <w:bottom w:w="0" w:type="dxa"/>
              <w:right w:w="17" w:type="dxa"/>
            </w:tcMar>
            <w:vAlign w:val="center"/>
          </w:tcPr>
          <w:p>
            <w:pPr>
              <w:jc w:val="center"/>
              <w:rPr>
                <w:rFonts w:ascii="宋体" w:hAnsi="宋体"/>
                <w:b/>
                <w:bCs/>
                <w:szCs w:val="21"/>
                <w:highlight w:val="none"/>
              </w:rPr>
            </w:pPr>
          </w:p>
        </w:tc>
        <w:tc>
          <w:tcPr>
            <w:tcW w:w="978" w:type="dxa"/>
            <w:tcMar>
              <w:top w:w="17" w:type="dxa"/>
              <w:left w:w="17" w:type="dxa"/>
              <w:bottom w:w="0" w:type="dxa"/>
              <w:right w:w="17" w:type="dxa"/>
            </w:tcMar>
            <w:vAlign w:val="center"/>
          </w:tcPr>
          <w:p>
            <w:pPr>
              <w:jc w:val="center"/>
              <w:rPr>
                <w:rFonts w:ascii="宋体" w:hAnsi="宋体"/>
                <w:b/>
                <w:bCs/>
                <w:szCs w:val="21"/>
                <w:highlight w:val="none"/>
              </w:rPr>
            </w:pPr>
          </w:p>
        </w:tc>
        <w:tc>
          <w:tcPr>
            <w:tcW w:w="978" w:type="dxa"/>
            <w:tcMar>
              <w:top w:w="17" w:type="dxa"/>
              <w:left w:w="17" w:type="dxa"/>
              <w:bottom w:w="0" w:type="dxa"/>
              <w:right w:w="17" w:type="dxa"/>
            </w:tcMar>
            <w:vAlign w:val="center"/>
          </w:tcPr>
          <w:p>
            <w:pPr>
              <w:jc w:val="center"/>
              <w:rPr>
                <w:rFonts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24" w:type="dxa"/>
            <w:tcMar>
              <w:top w:w="17" w:type="dxa"/>
              <w:left w:w="17" w:type="dxa"/>
              <w:bottom w:w="0" w:type="dxa"/>
              <w:right w:w="17" w:type="dxa"/>
            </w:tcMar>
            <w:vAlign w:val="center"/>
          </w:tcPr>
          <w:p>
            <w:pPr>
              <w:jc w:val="center"/>
              <w:rPr>
                <w:rFonts w:ascii="宋体" w:hAnsi="宋体"/>
                <w:b/>
                <w:bCs/>
                <w:szCs w:val="21"/>
                <w:highlight w:val="none"/>
              </w:rPr>
            </w:pPr>
            <w:r>
              <w:rPr>
                <w:rFonts w:hint="eastAsia" w:ascii="宋体" w:hAnsi="宋体"/>
                <w:b/>
                <w:bCs/>
                <w:szCs w:val="21"/>
                <w:highlight w:val="none"/>
              </w:rPr>
              <w:t>2</w:t>
            </w:r>
          </w:p>
        </w:tc>
        <w:tc>
          <w:tcPr>
            <w:tcW w:w="1107" w:type="dxa"/>
            <w:vMerge w:val="continue"/>
            <w:tcMar>
              <w:top w:w="17" w:type="dxa"/>
              <w:left w:w="17" w:type="dxa"/>
              <w:bottom w:w="0" w:type="dxa"/>
              <w:right w:w="17" w:type="dxa"/>
            </w:tcMar>
            <w:vAlign w:val="center"/>
          </w:tcPr>
          <w:p>
            <w:pPr>
              <w:jc w:val="center"/>
              <w:rPr>
                <w:rFonts w:ascii="宋体" w:hAnsi="宋体"/>
                <w:bCs/>
                <w:szCs w:val="21"/>
                <w:highlight w:val="none"/>
              </w:rPr>
            </w:pPr>
          </w:p>
        </w:tc>
        <w:tc>
          <w:tcPr>
            <w:tcW w:w="6462" w:type="dxa"/>
            <w:tcMar>
              <w:top w:w="17" w:type="dxa"/>
              <w:left w:w="17" w:type="dxa"/>
              <w:bottom w:w="0" w:type="dxa"/>
              <w:right w:w="17" w:type="dxa"/>
            </w:tcMar>
            <w:vAlign w:val="center"/>
          </w:tcPr>
          <w:p>
            <w:pPr>
              <w:rPr>
                <w:rFonts w:ascii="宋体" w:hAnsi="宋体" w:cs="宋体"/>
                <w:szCs w:val="21"/>
                <w:highlight w:val="none"/>
              </w:rPr>
            </w:pPr>
            <w:r>
              <w:rPr>
                <w:rFonts w:ascii="宋体" w:hAnsi="宋体"/>
                <w:szCs w:val="21"/>
                <w:highlight w:val="none"/>
              </w:rPr>
              <w:t>投标有效期不少于招标文件中载明的投标有效期</w:t>
            </w:r>
            <w:r>
              <w:rPr>
                <w:rFonts w:hint="eastAsia" w:ascii="宋体" w:hAnsi="宋体"/>
                <w:szCs w:val="21"/>
                <w:highlight w:val="none"/>
              </w:rPr>
              <w:t>；</w:t>
            </w:r>
          </w:p>
        </w:tc>
        <w:tc>
          <w:tcPr>
            <w:tcW w:w="978" w:type="dxa"/>
            <w:tcMar>
              <w:top w:w="17" w:type="dxa"/>
              <w:left w:w="17" w:type="dxa"/>
              <w:bottom w:w="0" w:type="dxa"/>
              <w:right w:w="17" w:type="dxa"/>
            </w:tcMar>
            <w:vAlign w:val="center"/>
          </w:tcPr>
          <w:p>
            <w:pPr>
              <w:jc w:val="center"/>
              <w:rPr>
                <w:rFonts w:ascii="宋体" w:hAnsi="宋体"/>
                <w:b/>
                <w:bCs/>
                <w:szCs w:val="21"/>
                <w:highlight w:val="none"/>
              </w:rPr>
            </w:pPr>
          </w:p>
        </w:tc>
        <w:tc>
          <w:tcPr>
            <w:tcW w:w="978" w:type="dxa"/>
            <w:tcMar>
              <w:top w:w="17" w:type="dxa"/>
              <w:left w:w="17" w:type="dxa"/>
              <w:bottom w:w="0" w:type="dxa"/>
              <w:right w:w="17" w:type="dxa"/>
            </w:tcMar>
            <w:vAlign w:val="center"/>
          </w:tcPr>
          <w:p>
            <w:pPr>
              <w:jc w:val="center"/>
              <w:rPr>
                <w:rFonts w:ascii="宋体" w:hAnsi="宋体"/>
                <w:b/>
                <w:bCs/>
                <w:szCs w:val="21"/>
                <w:highlight w:val="none"/>
              </w:rPr>
            </w:pPr>
          </w:p>
        </w:tc>
        <w:tc>
          <w:tcPr>
            <w:tcW w:w="978" w:type="dxa"/>
            <w:tcMar>
              <w:top w:w="17" w:type="dxa"/>
              <w:left w:w="17" w:type="dxa"/>
              <w:bottom w:w="0" w:type="dxa"/>
              <w:right w:w="17" w:type="dxa"/>
            </w:tcMar>
            <w:vAlign w:val="center"/>
          </w:tcPr>
          <w:p>
            <w:pPr>
              <w:jc w:val="center"/>
              <w:rPr>
                <w:rFonts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8" w:hRule="atLeast"/>
          <w:jc w:val="center"/>
        </w:trPr>
        <w:tc>
          <w:tcPr>
            <w:tcW w:w="524" w:type="dxa"/>
            <w:tcMar>
              <w:top w:w="17" w:type="dxa"/>
              <w:left w:w="17" w:type="dxa"/>
              <w:bottom w:w="0" w:type="dxa"/>
              <w:right w:w="17" w:type="dxa"/>
            </w:tcMar>
            <w:vAlign w:val="center"/>
          </w:tcPr>
          <w:p>
            <w:pPr>
              <w:jc w:val="center"/>
              <w:rPr>
                <w:rFonts w:ascii="宋体" w:hAnsi="宋体"/>
                <w:b/>
                <w:bCs/>
                <w:szCs w:val="21"/>
                <w:highlight w:val="none"/>
              </w:rPr>
            </w:pPr>
            <w:r>
              <w:rPr>
                <w:rFonts w:hint="eastAsia" w:ascii="宋体" w:hAnsi="宋体"/>
                <w:b/>
                <w:bCs/>
                <w:szCs w:val="21"/>
                <w:highlight w:val="none"/>
              </w:rPr>
              <w:t>3</w:t>
            </w:r>
          </w:p>
        </w:tc>
        <w:tc>
          <w:tcPr>
            <w:tcW w:w="1107" w:type="dxa"/>
            <w:vMerge w:val="continue"/>
            <w:tcMar>
              <w:top w:w="17" w:type="dxa"/>
              <w:left w:w="17" w:type="dxa"/>
              <w:bottom w:w="0" w:type="dxa"/>
              <w:right w:w="17" w:type="dxa"/>
            </w:tcMar>
            <w:vAlign w:val="center"/>
          </w:tcPr>
          <w:p>
            <w:pPr>
              <w:jc w:val="center"/>
              <w:rPr>
                <w:rFonts w:ascii="宋体" w:hAnsi="宋体"/>
                <w:bCs/>
                <w:szCs w:val="21"/>
                <w:highlight w:val="none"/>
              </w:rPr>
            </w:pPr>
          </w:p>
        </w:tc>
        <w:tc>
          <w:tcPr>
            <w:tcW w:w="6462" w:type="dxa"/>
            <w:tcMar>
              <w:top w:w="17" w:type="dxa"/>
              <w:left w:w="17" w:type="dxa"/>
              <w:bottom w:w="0" w:type="dxa"/>
              <w:right w:w="17" w:type="dxa"/>
            </w:tcMar>
            <w:vAlign w:val="center"/>
          </w:tcPr>
          <w:p>
            <w:pPr>
              <w:rPr>
                <w:rFonts w:ascii="宋体" w:hAnsi="宋体" w:cs="宋体"/>
                <w:szCs w:val="21"/>
                <w:highlight w:val="none"/>
              </w:rPr>
            </w:pPr>
            <w:r>
              <w:rPr>
                <w:rFonts w:hint="eastAsia" w:ascii="宋体" w:hAnsi="宋体" w:cs="宋体"/>
                <w:szCs w:val="21"/>
                <w:highlight w:val="none"/>
              </w:rPr>
              <w:t>符合第五章“投标文件（格式）”的要求，按规定盖章签署，主要内容齐全，关键字迹清晰、能辨认；</w:t>
            </w:r>
          </w:p>
        </w:tc>
        <w:tc>
          <w:tcPr>
            <w:tcW w:w="978" w:type="dxa"/>
            <w:tcMar>
              <w:top w:w="17" w:type="dxa"/>
              <w:left w:w="17" w:type="dxa"/>
              <w:bottom w:w="0" w:type="dxa"/>
              <w:right w:w="17" w:type="dxa"/>
            </w:tcMar>
            <w:vAlign w:val="center"/>
          </w:tcPr>
          <w:p>
            <w:pPr>
              <w:jc w:val="center"/>
              <w:rPr>
                <w:rFonts w:ascii="宋体" w:hAnsi="宋体"/>
                <w:b/>
                <w:bCs/>
                <w:szCs w:val="21"/>
                <w:highlight w:val="none"/>
              </w:rPr>
            </w:pPr>
          </w:p>
        </w:tc>
        <w:tc>
          <w:tcPr>
            <w:tcW w:w="978" w:type="dxa"/>
            <w:tcMar>
              <w:top w:w="17" w:type="dxa"/>
              <w:left w:w="17" w:type="dxa"/>
              <w:bottom w:w="0" w:type="dxa"/>
              <w:right w:w="17" w:type="dxa"/>
            </w:tcMar>
            <w:vAlign w:val="center"/>
          </w:tcPr>
          <w:p>
            <w:pPr>
              <w:jc w:val="center"/>
              <w:rPr>
                <w:rFonts w:ascii="宋体" w:hAnsi="宋体"/>
                <w:b/>
                <w:bCs/>
                <w:szCs w:val="21"/>
                <w:highlight w:val="none"/>
              </w:rPr>
            </w:pPr>
          </w:p>
        </w:tc>
        <w:tc>
          <w:tcPr>
            <w:tcW w:w="978" w:type="dxa"/>
            <w:tcMar>
              <w:top w:w="17" w:type="dxa"/>
              <w:left w:w="17" w:type="dxa"/>
              <w:bottom w:w="0" w:type="dxa"/>
              <w:right w:w="17" w:type="dxa"/>
            </w:tcMar>
            <w:vAlign w:val="center"/>
          </w:tcPr>
          <w:p>
            <w:pPr>
              <w:jc w:val="center"/>
              <w:rPr>
                <w:rFonts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524" w:type="dxa"/>
            <w:tcMar>
              <w:top w:w="17" w:type="dxa"/>
              <w:left w:w="17" w:type="dxa"/>
              <w:bottom w:w="0" w:type="dxa"/>
              <w:right w:w="17" w:type="dxa"/>
            </w:tcMar>
            <w:vAlign w:val="center"/>
          </w:tcPr>
          <w:p>
            <w:pPr>
              <w:jc w:val="center"/>
              <w:rPr>
                <w:rFonts w:ascii="宋体" w:hAnsi="宋体"/>
                <w:b/>
                <w:bCs/>
                <w:szCs w:val="21"/>
                <w:highlight w:val="none"/>
              </w:rPr>
            </w:pPr>
            <w:r>
              <w:rPr>
                <w:rFonts w:hint="eastAsia" w:ascii="宋体" w:hAnsi="宋体"/>
                <w:b/>
                <w:bCs/>
                <w:szCs w:val="21"/>
                <w:highlight w:val="none"/>
              </w:rPr>
              <w:t>4</w:t>
            </w:r>
          </w:p>
        </w:tc>
        <w:tc>
          <w:tcPr>
            <w:tcW w:w="1107" w:type="dxa"/>
            <w:vMerge w:val="continue"/>
            <w:tcMar>
              <w:top w:w="17" w:type="dxa"/>
              <w:left w:w="17" w:type="dxa"/>
              <w:bottom w:w="0" w:type="dxa"/>
              <w:right w:w="17" w:type="dxa"/>
            </w:tcMar>
            <w:vAlign w:val="center"/>
          </w:tcPr>
          <w:p>
            <w:pPr>
              <w:jc w:val="center"/>
              <w:rPr>
                <w:rFonts w:ascii="宋体" w:hAnsi="宋体"/>
                <w:bCs/>
                <w:szCs w:val="21"/>
                <w:highlight w:val="none"/>
              </w:rPr>
            </w:pPr>
          </w:p>
        </w:tc>
        <w:tc>
          <w:tcPr>
            <w:tcW w:w="6462" w:type="dxa"/>
            <w:tcMar>
              <w:top w:w="17" w:type="dxa"/>
              <w:left w:w="17" w:type="dxa"/>
              <w:bottom w:w="0" w:type="dxa"/>
              <w:right w:w="17" w:type="dxa"/>
            </w:tcMar>
            <w:vAlign w:val="center"/>
          </w:tcPr>
          <w:p>
            <w:pPr>
              <w:rPr>
                <w:rFonts w:ascii="宋体" w:hAnsi="宋体" w:cs="宋体"/>
                <w:szCs w:val="21"/>
                <w:highlight w:val="none"/>
              </w:rPr>
            </w:pPr>
            <w:r>
              <w:rPr>
                <w:rFonts w:hint="eastAsia" w:ascii="宋体" w:hAnsi="宋体"/>
                <w:szCs w:val="21"/>
                <w:highlight w:val="none"/>
              </w:rPr>
              <w:t>投标总报价不高于最高投标限价；</w:t>
            </w:r>
          </w:p>
        </w:tc>
        <w:tc>
          <w:tcPr>
            <w:tcW w:w="978" w:type="dxa"/>
            <w:tcMar>
              <w:top w:w="17" w:type="dxa"/>
              <w:left w:w="17" w:type="dxa"/>
              <w:bottom w:w="0" w:type="dxa"/>
              <w:right w:w="17" w:type="dxa"/>
            </w:tcMar>
            <w:vAlign w:val="center"/>
          </w:tcPr>
          <w:p>
            <w:pPr>
              <w:jc w:val="center"/>
              <w:rPr>
                <w:rFonts w:ascii="宋体" w:hAnsi="宋体"/>
                <w:b/>
                <w:bCs/>
                <w:szCs w:val="21"/>
                <w:highlight w:val="none"/>
              </w:rPr>
            </w:pPr>
          </w:p>
        </w:tc>
        <w:tc>
          <w:tcPr>
            <w:tcW w:w="978" w:type="dxa"/>
            <w:tcMar>
              <w:top w:w="17" w:type="dxa"/>
              <w:left w:w="17" w:type="dxa"/>
              <w:bottom w:w="0" w:type="dxa"/>
              <w:right w:w="17" w:type="dxa"/>
            </w:tcMar>
            <w:vAlign w:val="center"/>
          </w:tcPr>
          <w:p>
            <w:pPr>
              <w:jc w:val="center"/>
              <w:rPr>
                <w:rFonts w:ascii="宋体" w:hAnsi="宋体"/>
                <w:b/>
                <w:bCs/>
                <w:szCs w:val="21"/>
                <w:highlight w:val="none"/>
              </w:rPr>
            </w:pPr>
          </w:p>
        </w:tc>
        <w:tc>
          <w:tcPr>
            <w:tcW w:w="978" w:type="dxa"/>
            <w:tcMar>
              <w:top w:w="17" w:type="dxa"/>
              <w:left w:w="17" w:type="dxa"/>
              <w:bottom w:w="0" w:type="dxa"/>
              <w:right w:w="17" w:type="dxa"/>
            </w:tcMar>
            <w:vAlign w:val="center"/>
          </w:tcPr>
          <w:p>
            <w:pPr>
              <w:jc w:val="center"/>
              <w:rPr>
                <w:rFonts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524" w:type="dxa"/>
            <w:tcMar>
              <w:top w:w="17" w:type="dxa"/>
              <w:left w:w="17" w:type="dxa"/>
              <w:bottom w:w="0" w:type="dxa"/>
              <w:right w:w="17" w:type="dxa"/>
            </w:tcMar>
            <w:vAlign w:val="center"/>
          </w:tcPr>
          <w:p>
            <w:pPr>
              <w:jc w:val="center"/>
              <w:rPr>
                <w:rFonts w:ascii="宋体" w:hAnsi="宋体"/>
                <w:b/>
                <w:bCs/>
                <w:szCs w:val="21"/>
                <w:highlight w:val="none"/>
              </w:rPr>
            </w:pPr>
            <w:r>
              <w:rPr>
                <w:rFonts w:hint="eastAsia" w:ascii="宋体" w:hAnsi="宋体"/>
                <w:b/>
                <w:bCs/>
                <w:szCs w:val="21"/>
                <w:highlight w:val="none"/>
              </w:rPr>
              <w:t>5</w:t>
            </w:r>
          </w:p>
        </w:tc>
        <w:tc>
          <w:tcPr>
            <w:tcW w:w="1107" w:type="dxa"/>
            <w:vMerge w:val="continue"/>
            <w:tcMar>
              <w:top w:w="17" w:type="dxa"/>
              <w:left w:w="17" w:type="dxa"/>
              <w:bottom w:w="0" w:type="dxa"/>
              <w:right w:w="17" w:type="dxa"/>
            </w:tcMar>
            <w:vAlign w:val="center"/>
          </w:tcPr>
          <w:p>
            <w:pPr>
              <w:jc w:val="center"/>
              <w:rPr>
                <w:rFonts w:ascii="宋体" w:hAnsi="宋体"/>
                <w:bCs/>
                <w:szCs w:val="21"/>
                <w:highlight w:val="none"/>
              </w:rPr>
            </w:pPr>
          </w:p>
        </w:tc>
        <w:tc>
          <w:tcPr>
            <w:tcW w:w="6462" w:type="dxa"/>
            <w:tcMar>
              <w:top w:w="17" w:type="dxa"/>
              <w:left w:w="17" w:type="dxa"/>
              <w:bottom w:w="0" w:type="dxa"/>
              <w:right w:w="17" w:type="dxa"/>
            </w:tcMar>
            <w:vAlign w:val="center"/>
          </w:tcPr>
          <w:p>
            <w:pPr>
              <w:rPr>
                <w:rFonts w:ascii="宋体" w:hAnsi="宋体" w:cs="宋体"/>
                <w:szCs w:val="21"/>
                <w:highlight w:val="none"/>
              </w:rPr>
            </w:pPr>
            <w:r>
              <w:rPr>
                <w:rFonts w:hint="eastAsia" w:ascii="宋体" w:hAnsi="宋体" w:cs="宋体"/>
                <w:szCs w:val="21"/>
                <w:highlight w:val="none"/>
              </w:rPr>
              <w:t>投标文件中有有效的法定代表人（负责人）证明书，或由委托代理人签字或盖章的投标文件中有法定代表人（负责人）证明书和授权委托证明书原件；</w:t>
            </w:r>
          </w:p>
        </w:tc>
        <w:tc>
          <w:tcPr>
            <w:tcW w:w="978" w:type="dxa"/>
            <w:tcMar>
              <w:top w:w="17" w:type="dxa"/>
              <w:left w:w="17" w:type="dxa"/>
              <w:bottom w:w="0" w:type="dxa"/>
              <w:right w:w="17" w:type="dxa"/>
            </w:tcMar>
            <w:vAlign w:val="center"/>
          </w:tcPr>
          <w:p>
            <w:pPr>
              <w:jc w:val="center"/>
              <w:rPr>
                <w:rFonts w:ascii="宋体" w:hAnsi="宋体"/>
                <w:b/>
                <w:bCs/>
                <w:szCs w:val="21"/>
                <w:highlight w:val="none"/>
              </w:rPr>
            </w:pPr>
          </w:p>
        </w:tc>
        <w:tc>
          <w:tcPr>
            <w:tcW w:w="978" w:type="dxa"/>
            <w:tcMar>
              <w:top w:w="17" w:type="dxa"/>
              <w:left w:w="17" w:type="dxa"/>
              <w:bottom w:w="0" w:type="dxa"/>
              <w:right w:w="17" w:type="dxa"/>
            </w:tcMar>
            <w:vAlign w:val="center"/>
          </w:tcPr>
          <w:p>
            <w:pPr>
              <w:jc w:val="center"/>
              <w:rPr>
                <w:rFonts w:ascii="宋体" w:hAnsi="宋体"/>
                <w:b/>
                <w:bCs/>
                <w:szCs w:val="21"/>
                <w:highlight w:val="none"/>
              </w:rPr>
            </w:pPr>
          </w:p>
        </w:tc>
        <w:tc>
          <w:tcPr>
            <w:tcW w:w="978" w:type="dxa"/>
            <w:tcMar>
              <w:top w:w="17" w:type="dxa"/>
              <w:left w:w="17" w:type="dxa"/>
              <w:bottom w:w="0" w:type="dxa"/>
              <w:right w:w="17" w:type="dxa"/>
            </w:tcMar>
            <w:vAlign w:val="center"/>
          </w:tcPr>
          <w:p>
            <w:pPr>
              <w:jc w:val="center"/>
              <w:rPr>
                <w:rFonts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524" w:type="dxa"/>
            <w:tcMar>
              <w:top w:w="17" w:type="dxa"/>
              <w:left w:w="17" w:type="dxa"/>
              <w:bottom w:w="0" w:type="dxa"/>
              <w:right w:w="17" w:type="dxa"/>
            </w:tcMar>
            <w:vAlign w:val="center"/>
          </w:tcPr>
          <w:p>
            <w:pPr>
              <w:jc w:val="center"/>
              <w:rPr>
                <w:rFonts w:ascii="宋体" w:hAnsi="宋体"/>
                <w:b/>
                <w:bCs/>
                <w:szCs w:val="21"/>
                <w:highlight w:val="none"/>
              </w:rPr>
            </w:pPr>
            <w:r>
              <w:rPr>
                <w:rFonts w:hint="eastAsia" w:ascii="宋体" w:hAnsi="宋体"/>
                <w:b/>
                <w:bCs/>
                <w:szCs w:val="21"/>
                <w:highlight w:val="none"/>
              </w:rPr>
              <w:t>6</w:t>
            </w:r>
          </w:p>
        </w:tc>
        <w:tc>
          <w:tcPr>
            <w:tcW w:w="1107" w:type="dxa"/>
            <w:vMerge w:val="continue"/>
            <w:tcMar>
              <w:top w:w="17" w:type="dxa"/>
              <w:left w:w="17" w:type="dxa"/>
              <w:bottom w:w="0" w:type="dxa"/>
              <w:right w:w="17" w:type="dxa"/>
            </w:tcMar>
            <w:vAlign w:val="center"/>
          </w:tcPr>
          <w:p>
            <w:pPr>
              <w:jc w:val="center"/>
              <w:rPr>
                <w:rFonts w:ascii="宋体" w:hAnsi="宋体"/>
                <w:bCs/>
                <w:szCs w:val="21"/>
                <w:highlight w:val="none"/>
              </w:rPr>
            </w:pPr>
          </w:p>
        </w:tc>
        <w:tc>
          <w:tcPr>
            <w:tcW w:w="6462" w:type="dxa"/>
            <w:tcMar>
              <w:top w:w="17" w:type="dxa"/>
              <w:left w:w="17" w:type="dxa"/>
              <w:bottom w:w="0" w:type="dxa"/>
              <w:right w:w="17" w:type="dxa"/>
            </w:tcMar>
            <w:vAlign w:val="center"/>
          </w:tcPr>
          <w:p>
            <w:pPr>
              <w:rPr>
                <w:rFonts w:ascii="宋体" w:hAnsi="宋体" w:cs="宋体"/>
                <w:szCs w:val="21"/>
                <w:highlight w:val="none"/>
              </w:rPr>
            </w:pPr>
            <w:r>
              <w:rPr>
                <w:rFonts w:hint="eastAsia" w:ascii="宋体" w:hAnsi="宋体"/>
                <w:szCs w:val="21"/>
                <w:highlight w:val="none"/>
              </w:rPr>
              <w:t>无其他未实质性响应招标文件要求，或无经评委认定为无效标的；</w:t>
            </w:r>
          </w:p>
        </w:tc>
        <w:tc>
          <w:tcPr>
            <w:tcW w:w="978" w:type="dxa"/>
            <w:tcMar>
              <w:top w:w="17" w:type="dxa"/>
              <w:left w:w="17" w:type="dxa"/>
              <w:bottom w:w="0" w:type="dxa"/>
              <w:right w:w="17" w:type="dxa"/>
            </w:tcMar>
            <w:vAlign w:val="center"/>
          </w:tcPr>
          <w:p>
            <w:pPr>
              <w:jc w:val="center"/>
              <w:rPr>
                <w:rFonts w:ascii="宋体" w:hAnsi="宋体"/>
                <w:b/>
                <w:bCs/>
                <w:szCs w:val="21"/>
                <w:highlight w:val="none"/>
              </w:rPr>
            </w:pPr>
          </w:p>
        </w:tc>
        <w:tc>
          <w:tcPr>
            <w:tcW w:w="978" w:type="dxa"/>
            <w:tcMar>
              <w:top w:w="17" w:type="dxa"/>
              <w:left w:w="17" w:type="dxa"/>
              <w:bottom w:w="0" w:type="dxa"/>
              <w:right w:w="17" w:type="dxa"/>
            </w:tcMar>
            <w:vAlign w:val="center"/>
          </w:tcPr>
          <w:p>
            <w:pPr>
              <w:jc w:val="center"/>
              <w:rPr>
                <w:rFonts w:ascii="宋体" w:hAnsi="宋体"/>
                <w:b/>
                <w:bCs/>
                <w:szCs w:val="21"/>
                <w:highlight w:val="none"/>
              </w:rPr>
            </w:pPr>
          </w:p>
        </w:tc>
        <w:tc>
          <w:tcPr>
            <w:tcW w:w="978" w:type="dxa"/>
            <w:tcMar>
              <w:top w:w="17" w:type="dxa"/>
              <w:left w:w="17" w:type="dxa"/>
              <w:bottom w:w="0" w:type="dxa"/>
              <w:right w:w="17" w:type="dxa"/>
            </w:tcMar>
            <w:vAlign w:val="center"/>
          </w:tcPr>
          <w:p>
            <w:pPr>
              <w:jc w:val="center"/>
              <w:rPr>
                <w:rFonts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524" w:type="dxa"/>
            <w:tcMar>
              <w:top w:w="17" w:type="dxa"/>
              <w:left w:w="17" w:type="dxa"/>
              <w:bottom w:w="0" w:type="dxa"/>
              <w:right w:w="17" w:type="dxa"/>
            </w:tcMar>
            <w:vAlign w:val="center"/>
          </w:tcPr>
          <w:p>
            <w:pPr>
              <w:jc w:val="center"/>
              <w:rPr>
                <w:rFonts w:ascii="宋体" w:hAnsi="宋体"/>
                <w:b/>
                <w:bCs/>
                <w:szCs w:val="21"/>
                <w:highlight w:val="none"/>
              </w:rPr>
            </w:pPr>
            <w:r>
              <w:rPr>
                <w:rFonts w:hint="eastAsia" w:ascii="宋体" w:hAnsi="宋体"/>
                <w:b/>
                <w:bCs/>
                <w:szCs w:val="21"/>
                <w:highlight w:val="none"/>
              </w:rPr>
              <w:t>7</w:t>
            </w:r>
          </w:p>
        </w:tc>
        <w:tc>
          <w:tcPr>
            <w:tcW w:w="1107" w:type="dxa"/>
            <w:vMerge w:val="restart"/>
            <w:tcMar>
              <w:top w:w="17" w:type="dxa"/>
              <w:left w:w="17" w:type="dxa"/>
              <w:bottom w:w="0" w:type="dxa"/>
              <w:right w:w="17" w:type="dxa"/>
            </w:tcMar>
            <w:vAlign w:val="center"/>
          </w:tcPr>
          <w:p>
            <w:pPr>
              <w:jc w:val="center"/>
              <w:rPr>
                <w:rFonts w:ascii="宋体" w:hAnsi="宋体"/>
                <w:bCs/>
                <w:szCs w:val="21"/>
                <w:highlight w:val="none"/>
              </w:rPr>
            </w:pPr>
            <w:r>
              <w:rPr>
                <w:rFonts w:hint="eastAsia" w:ascii="宋体" w:hAnsi="宋体"/>
                <w:bCs/>
                <w:szCs w:val="21"/>
                <w:highlight w:val="none"/>
              </w:rPr>
              <w:t>资格性</w:t>
            </w:r>
          </w:p>
          <w:p>
            <w:pPr>
              <w:jc w:val="center"/>
              <w:rPr>
                <w:rFonts w:ascii="宋体" w:hAnsi="宋体"/>
                <w:bCs/>
                <w:szCs w:val="21"/>
                <w:highlight w:val="none"/>
              </w:rPr>
            </w:pPr>
            <w:r>
              <w:rPr>
                <w:rFonts w:hint="eastAsia" w:ascii="宋体" w:hAnsi="宋体"/>
                <w:bCs/>
                <w:szCs w:val="21"/>
                <w:highlight w:val="none"/>
              </w:rPr>
              <w:t>审查</w:t>
            </w:r>
          </w:p>
        </w:tc>
        <w:tc>
          <w:tcPr>
            <w:tcW w:w="6462" w:type="dxa"/>
            <w:tcMar>
              <w:top w:w="17" w:type="dxa"/>
              <w:left w:w="17" w:type="dxa"/>
              <w:bottom w:w="0" w:type="dxa"/>
              <w:right w:w="17" w:type="dxa"/>
            </w:tcMar>
            <w:vAlign w:val="center"/>
          </w:tcPr>
          <w:p>
            <w:pPr>
              <w:rPr>
                <w:rFonts w:ascii="宋体" w:hAnsi="宋体"/>
                <w:bCs/>
                <w:szCs w:val="21"/>
                <w:highlight w:val="none"/>
              </w:rPr>
            </w:pPr>
            <w:r>
              <w:rPr>
                <w:rFonts w:hint="eastAsia" w:ascii="宋体" w:hAnsi="宋体"/>
                <w:bCs/>
                <w:szCs w:val="21"/>
                <w:highlight w:val="none"/>
              </w:rPr>
              <w:t>具有独立法人资格，持有工商行政管理部门核发的法人营业执照，按国家法律经营；</w:t>
            </w:r>
          </w:p>
        </w:tc>
        <w:tc>
          <w:tcPr>
            <w:tcW w:w="978" w:type="dxa"/>
            <w:tcMar>
              <w:top w:w="17" w:type="dxa"/>
              <w:left w:w="17" w:type="dxa"/>
              <w:bottom w:w="0" w:type="dxa"/>
              <w:right w:w="17" w:type="dxa"/>
            </w:tcMar>
            <w:vAlign w:val="center"/>
          </w:tcPr>
          <w:p>
            <w:pPr>
              <w:jc w:val="center"/>
              <w:rPr>
                <w:rFonts w:ascii="宋体" w:hAnsi="宋体"/>
                <w:b/>
                <w:bCs/>
                <w:szCs w:val="21"/>
                <w:highlight w:val="none"/>
              </w:rPr>
            </w:pPr>
          </w:p>
        </w:tc>
        <w:tc>
          <w:tcPr>
            <w:tcW w:w="978" w:type="dxa"/>
            <w:tcMar>
              <w:top w:w="17" w:type="dxa"/>
              <w:left w:w="17" w:type="dxa"/>
              <w:bottom w:w="0" w:type="dxa"/>
              <w:right w:w="17" w:type="dxa"/>
            </w:tcMar>
            <w:vAlign w:val="center"/>
          </w:tcPr>
          <w:p>
            <w:pPr>
              <w:jc w:val="center"/>
              <w:rPr>
                <w:rFonts w:ascii="宋体" w:hAnsi="宋体"/>
                <w:b/>
                <w:bCs/>
                <w:szCs w:val="21"/>
                <w:highlight w:val="none"/>
              </w:rPr>
            </w:pPr>
          </w:p>
        </w:tc>
        <w:tc>
          <w:tcPr>
            <w:tcW w:w="978" w:type="dxa"/>
            <w:tcMar>
              <w:top w:w="17" w:type="dxa"/>
              <w:left w:w="17" w:type="dxa"/>
              <w:bottom w:w="0" w:type="dxa"/>
              <w:right w:w="17" w:type="dxa"/>
            </w:tcMar>
            <w:vAlign w:val="center"/>
          </w:tcPr>
          <w:p>
            <w:pPr>
              <w:jc w:val="center"/>
              <w:rPr>
                <w:rFonts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2" w:hRule="atLeast"/>
          <w:jc w:val="center"/>
        </w:trPr>
        <w:tc>
          <w:tcPr>
            <w:tcW w:w="524" w:type="dxa"/>
            <w:tcMar>
              <w:top w:w="17" w:type="dxa"/>
              <w:left w:w="17" w:type="dxa"/>
              <w:bottom w:w="0" w:type="dxa"/>
              <w:right w:w="17" w:type="dxa"/>
            </w:tcMar>
            <w:vAlign w:val="center"/>
          </w:tcPr>
          <w:p>
            <w:pPr>
              <w:jc w:val="center"/>
              <w:rPr>
                <w:rFonts w:ascii="宋体" w:hAnsi="宋体"/>
                <w:b/>
                <w:bCs/>
                <w:szCs w:val="21"/>
                <w:highlight w:val="none"/>
              </w:rPr>
            </w:pPr>
            <w:r>
              <w:rPr>
                <w:rFonts w:hint="eastAsia" w:ascii="宋体" w:hAnsi="宋体"/>
                <w:b/>
                <w:bCs/>
                <w:szCs w:val="21"/>
                <w:highlight w:val="none"/>
              </w:rPr>
              <w:t>8</w:t>
            </w:r>
          </w:p>
        </w:tc>
        <w:tc>
          <w:tcPr>
            <w:tcW w:w="1107" w:type="dxa"/>
            <w:vMerge w:val="continue"/>
            <w:tcMar>
              <w:top w:w="17" w:type="dxa"/>
              <w:left w:w="17" w:type="dxa"/>
              <w:bottom w:w="0" w:type="dxa"/>
              <w:right w:w="17" w:type="dxa"/>
            </w:tcMar>
            <w:vAlign w:val="center"/>
          </w:tcPr>
          <w:p>
            <w:pPr>
              <w:jc w:val="center"/>
              <w:rPr>
                <w:rFonts w:ascii="宋体" w:hAnsi="宋体"/>
                <w:bCs/>
                <w:szCs w:val="21"/>
                <w:highlight w:val="none"/>
              </w:rPr>
            </w:pPr>
          </w:p>
        </w:tc>
        <w:tc>
          <w:tcPr>
            <w:tcW w:w="6462" w:type="dxa"/>
            <w:tcMar>
              <w:top w:w="17" w:type="dxa"/>
              <w:left w:w="17" w:type="dxa"/>
              <w:bottom w:w="0" w:type="dxa"/>
              <w:right w:w="17" w:type="dxa"/>
            </w:tcMar>
            <w:vAlign w:val="center"/>
          </w:tcPr>
          <w:p>
            <w:pPr>
              <w:rPr>
                <w:rFonts w:ascii="宋体" w:hAnsi="宋体"/>
                <w:bCs/>
                <w:szCs w:val="21"/>
                <w:highlight w:val="none"/>
              </w:rPr>
            </w:pPr>
            <w:r>
              <w:rPr>
                <w:rFonts w:hint="eastAsia"/>
                <w:highlight w:val="none"/>
              </w:rPr>
              <w:t>具有</w:t>
            </w:r>
            <w:r>
              <w:rPr>
                <w:rFonts w:hint="eastAsia"/>
                <w:highlight w:val="none"/>
                <w:u w:val="single"/>
              </w:rPr>
              <w:t>所投标采购物资的制造商或制造商授权参加本次投标的唯一授权代理商。（注：授权代理商需提供制造商的唯一授权文件；同一个投标人所投设备均须为同一品牌；同一品牌的产品，只允许一个有效投标申请人参加投标，制造商与授权代理商同时参与投标申请的，只接受制造商的投标申请）；</w:t>
            </w:r>
          </w:p>
        </w:tc>
        <w:tc>
          <w:tcPr>
            <w:tcW w:w="978" w:type="dxa"/>
            <w:tcMar>
              <w:top w:w="17" w:type="dxa"/>
              <w:left w:w="17" w:type="dxa"/>
              <w:bottom w:w="0" w:type="dxa"/>
              <w:right w:w="17" w:type="dxa"/>
            </w:tcMar>
            <w:vAlign w:val="center"/>
          </w:tcPr>
          <w:p>
            <w:pPr>
              <w:jc w:val="center"/>
              <w:rPr>
                <w:rFonts w:ascii="宋体" w:hAnsi="宋体"/>
                <w:b/>
                <w:bCs/>
                <w:szCs w:val="21"/>
                <w:highlight w:val="none"/>
              </w:rPr>
            </w:pPr>
          </w:p>
        </w:tc>
        <w:tc>
          <w:tcPr>
            <w:tcW w:w="978" w:type="dxa"/>
            <w:tcMar>
              <w:top w:w="17" w:type="dxa"/>
              <w:left w:w="17" w:type="dxa"/>
              <w:bottom w:w="0" w:type="dxa"/>
              <w:right w:w="17" w:type="dxa"/>
            </w:tcMar>
            <w:vAlign w:val="center"/>
          </w:tcPr>
          <w:p>
            <w:pPr>
              <w:jc w:val="center"/>
              <w:rPr>
                <w:rFonts w:ascii="宋体" w:hAnsi="宋体"/>
                <w:b/>
                <w:bCs/>
                <w:szCs w:val="21"/>
                <w:highlight w:val="none"/>
              </w:rPr>
            </w:pPr>
          </w:p>
        </w:tc>
        <w:tc>
          <w:tcPr>
            <w:tcW w:w="978" w:type="dxa"/>
            <w:tcMar>
              <w:top w:w="17" w:type="dxa"/>
              <w:left w:w="17" w:type="dxa"/>
              <w:bottom w:w="0" w:type="dxa"/>
              <w:right w:w="17" w:type="dxa"/>
            </w:tcMar>
            <w:vAlign w:val="center"/>
          </w:tcPr>
          <w:p>
            <w:pPr>
              <w:jc w:val="center"/>
              <w:rPr>
                <w:rFonts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24" w:type="dxa"/>
            <w:tcMar>
              <w:top w:w="17" w:type="dxa"/>
              <w:left w:w="17" w:type="dxa"/>
              <w:bottom w:w="0" w:type="dxa"/>
              <w:right w:w="17" w:type="dxa"/>
            </w:tcMar>
            <w:vAlign w:val="center"/>
          </w:tcPr>
          <w:p>
            <w:pPr>
              <w:jc w:val="center"/>
              <w:rPr>
                <w:rFonts w:ascii="宋体" w:hAnsi="宋体"/>
                <w:b/>
                <w:bCs/>
                <w:szCs w:val="21"/>
                <w:highlight w:val="none"/>
              </w:rPr>
            </w:pPr>
            <w:r>
              <w:rPr>
                <w:rFonts w:hint="eastAsia" w:ascii="宋体" w:hAnsi="宋体"/>
                <w:b/>
                <w:bCs/>
                <w:szCs w:val="21"/>
                <w:highlight w:val="none"/>
              </w:rPr>
              <w:t>9</w:t>
            </w:r>
          </w:p>
        </w:tc>
        <w:tc>
          <w:tcPr>
            <w:tcW w:w="1107" w:type="dxa"/>
            <w:vMerge w:val="continue"/>
            <w:tcMar>
              <w:top w:w="17" w:type="dxa"/>
              <w:left w:w="17" w:type="dxa"/>
              <w:bottom w:w="0" w:type="dxa"/>
              <w:right w:w="17" w:type="dxa"/>
            </w:tcMar>
            <w:vAlign w:val="center"/>
          </w:tcPr>
          <w:p>
            <w:pPr>
              <w:jc w:val="center"/>
              <w:rPr>
                <w:rFonts w:ascii="宋体" w:hAnsi="宋体"/>
                <w:bCs/>
                <w:szCs w:val="21"/>
                <w:highlight w:val="none"/>
              </w:rPr>
            </w:pPr>
          </w:p>
        </w:tc>
        <w:tc>
          <w:tcPr>
            <w:tcW w:w="6462" w:type="dxa"/>
            <w:tcMar>
              <w:top w:w="17" w:type="dxa"/>
              <w:left w:w="17" w:type="dxa"/>
              <w:bottom w:w="0" w:type="dxa"/>
              <w:right w:w="17" w:type="dxa"/>
            </w:tcMar>
            <w:vAlign w:val="center"/>
          </w:tcPr>
          <w:p>
            <w:pPr>
              <w:rPr>
                <w:rFonts w:ascii="宋体" w:hAnsi="宋体"/>
                <w:bCs/>
                <w:szCs w:val="21"/>
                <w:highlight w:val="none"/>
              </w:rPr>
            </w:pPr>
            <w:r>
              <w:rPr>
                <w:rFonts w:hint="eastAsia"/>
                <w:highlight w:val="none"/>
              </w:rPr>
              <w:t>具有良好的商业信誉和健全的财务会计制度；</w:t>
            </w:r>
          </w:p>
        </w:tc>
        <w:tc>
          <w:tcPr>
            <w:tcW w:w="978" w:type="dxa"/>
            <w:tcMar>
              <w:top w:w="17" w:type="dxa"/>
              <w:left w:w="17" w:type="dxa"/>
              <w:bottom w:w="0" w:type="dxa"/>
              <w:right w:w="17" w:type="dxa"/>
            </w:tcMar>
            <w:vAlign w:val="center"/>
          </w:tcPr>
          <w:p>
            <w:pPr>
              <w:jc w:val="center"/>
              <w:rPr>
                <w:rFonts w:ascii="宋体" w:hAnsi="宋体"/>
                <w:b/>
                <w:bCs/>
                <w:szCs w:val="21"/>
                <w:highlight w:val="none"/>
              </w:rPr>
            </w:pPr>
          </w:p>
        </w:tc>
        <w:tc>
          <w:tcPr>
            <w:tcW w:w="978" w:type="dxa"/>
            <w:tcMar>
              <w:top w:w="17" w:type="dxa"/>
              <w:left w:w="17" w:type="dxa"/>
              <w:bottom w:w="0" w:type="dxa"/>
              <w:right w:w="17" w:type="dxa"/>
            </w:tcMar>
            <w:vAlign w:val="center"/>
          </w:tcPr>
          <w:p>
            <w:pPr>
              <w:jc w:val="center"/>
              <w:rPr>
                <w:rFonts w:ascii="宋体" w:hAnsi="宋体"/>
                <w:b/>
                <w:bCs/>
                <w:szCs w:val="21"/>
                <w:highlight w:val="none"/>
              </w:rPr>
            </w:pPr>
          </w:p>
        </w:tc>
        <w:tc>
          <w:tcPr>
            <w:tcW w:w="978" w:type="dxa"/>
            <w:tcMar>
              <w:top w:w="17" w:type="dxa"/>
              <w:left w:w="17" w:type="dxa"/>
              <w:bottom w:w="0" w:type="dxa"/>
              <w:right w:w="17" w:type="dxa"/>
            </w:tcMar>
            <w:vAlign w:val="center"/>
          </w:tcPr>
          <w:p>
            <w:pPr>
              <w:jc w:val="center"/>
              <w:rPr>
                <w:rFonts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24" w:type="dxa"/>
            <w:tcMar>
              <w:top w:w="17" w:type="dxa"/>
              <w:left w:w="17" w:type="dxa"/>
              <w:bottom w:w="0" w:type="dxa"/>
              <w:right w:w="17" w:type="dxa"/>
            </w:tcMar>
            <w:vAlign w:val="center"/>
          </w:tcPr>
          <w:p>
            <w:pPr>
              <w:jc w:val="center"/>
              <w:rPr>
                <w:rFonts w:ascii="宋体" w:hAnsi="宋体"/>
                <w:b/>
                <w:bCs/>
                <w:szCs w:val="21"/>
                <w:highlight w:val="none"/>
              </w:rPr>
            </w:pPr>
            <w:r>
              <w:rPr>
                <w:rFonts w:hint="eastAsia" w:ascii="宋体" w:hAnsi="宋体"/>
                <w:b/>
                <w:bCs/>
                <w:szCs w:val="21"/>
                <w:highlight w:val="none"/>
              </w:rPr>
              <w:t>10</w:t>
            </w:r>
          </w:p>
        </w:tc>
        <w:tc>
          <w:tcPr>
            <w:tcW w:w="1107" w:type="dxa"/>
            <w:vMerge w:val="continue"/>
            <w:tcMar>
              <w:top w:w="17" w:type="dxa"/>
              <w:left w:w="17" w:type="dxa"/>
              <w:bottom w:w="0" w:type="dxa"/>
              <w:right w:w="17" w:type="dxa"/>
            </w:tcMar>
            <w:vAlign w:val="center"/>
          </w:tcPr>
          <w:p>
            <w:pPr>
              <w:jc w:val="center"/>
              <w:rPr>
                <w:rFonts w:ascii="宋体" w:hAnsi="宋体"/>
                <w:bCs/>
                <w:szCs w:val="21"/>
                <w:highlight w:val="none"/>
              </w:rPr>
            </w:pPr>
          </w:p>
        </w:tc>
        <w:tc>
          <w:tcPr>
            <w:tcW w:w="6462" w:type="dxa"/>
            <w:tcMar>
              <w:top w:w="17" w:type="dxa"/>
              <w:left w:w="17" w:type="dxa"/>
              <w:bottom w:w="0" w:type="dxa"/>
              <w:right w:w="17" w:type="dxa"/>
            </w:tcMar>
            <w:vAlign w:val="center"/>
          </w:tcPr>
          <w:p>
            <w:pPr>
              <w:rPr>
                <w:rFonts w:ascii="宋体" w:hAnsi="宋体"/>
                <w:bCs/>
                <w:szCs w:val="21"/>
                <w:highlight w:val="none"/>
              </w:rPr>
            </w:pPr>
            <w:r>
              <w:rPr>
                <w:rFonts w:hint="eastAsia"/>
                <w:highlight w:val="none"/>
              </w:rPr>
              <w:t>具有依法缴纳税收和社会保障资金的良好记录；</w:t>
            </w:r>
          </w:p>
        </w:tc>
        <w:tc>
          <w:tcPr>
            <w:tcW w:w="978" w:type="dxa"/>
            <w:tcMar>
              <w:top w:w="17" w:type="dxa"/>
              <w:left w:w="17" w:type="dxa"/>
              <w:bottom w:w="0" w:type="dxa"/>
              <w:right w:w="17" w:type="dxa"/>
            </w:tcMar>
            <w:vAlign w:val="center"/>
          </w:tcPr>
          <w:p>
            <w:pPr>
              <w:jc w:val="center"/>
              <w:rPr>
                <w:rFonts w:ascii="宋体" w:hAnsi="宋体"/>
                <w:b/>
                <w:bCs/>
                <w:szCs w:val="21"/>
                <w:highlight w:val="none"/>
              </w:rPr>
            </w:pPr>
          </w:p>
        </w:tc>
        <w:tc>
          <w:tcPr>
            <w:tcW w:w="978" w:type="dxa"/>
            <w:tcMar>
              <w:top w:w="17" w:type="dxa"/>
              <w:left w:w="17" w:type="dxa"/>
              <w:bottom w:w="0" w:type="dxa"/>
              <w:right w:w="17" w:type="dxa"/>
            </w:tcMar>
            <w:vAlign w:val="center"/>
          </w:tcPr>
          <w:p>
            <w:pPr>
              <w:jc w:val="center"/>
              <w:rPr>
                <w:rFonts w:ascii="宋体" w:hAnsi="宋体"/>
                <w:b/>
                <w:bCs/>
                <w:szCs w:val="21"/>
                <w:highlight w:val="none"/>
              </w:rPr>
            </w:pPr>
          </w:p>
        </w:tc>
        <w:tc>
          <w:tcPr>
            <w:tcW w:w="978" w:type="dxa"/>
            <w:tcMar>
              <w:top w:w="17" w:type="dxa"/>
              <w:left w:w="17" w:type="dxa"/>
              <w:bottom w:w="0" w:type="dxa"/>
              <w:right w:w="17" w:type="dxa"/>
            </w:tcMar>
            <w:vAlign w:val="center"/>
          </w:tcPr>
          <w:p>
            <w:pPr>
              <w:jc w:val="center"/>
              <w:rPr>
                <w:rFonts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524" w:type="dxa"/>
            <w:tcMar>
              <w:top w:w="17" w:type="dxa"/>
              <w:left w:w="17" w:type="dxa"/>
              <w:bottom w:w="0" w:type="dxa"/>
              <w:right w:w="17" w:type="dxa"/>
            </w:tcMar>
            <w:vAlign w:val="center"/>
          </w:tcPr>
          <w:p>
            <w:pPr>
              <w:jc w:val="center"/>
              <w:rPr>
                <w:rFonts w:ascii="宋体" w:hAnsi="宋体"/>
                <w:b/>
                <w:bCs/>
                <w:szCs w:val="21"/>
                <w:highlight w:val="none"/>
              </w:rPr>
            </w:pPr>
            <w:r>
              <w:rPr>
                <w:rFonts w:hint="eastAsia" w:ascii="宋体" w:hAnsi="宋体"/>
                <w:b/>
                <w:bCs/>
                <w:szCs w:val="21"/>
                <w:highlight w:val="none"/>
              </w:rPr>
              <w:t>11</w:t>
            </w:r>
          </w:p>
        </w:tc>
        <w:tc>
          <w:tcPr>
            <w:tcW w:w="1107" w:type="dxa"/>
            <w:vMerge w:val="continue"/>
            <w:tcMar>
              <w:top w:w="17" w:type="dxa"/>
              <w:left w:w="17" w:type="dxa"/>
              <w:bottom w:w="0" w:type="dxa"/>
              <w:right w:w="17" w:type="dxa"/>
            </w:tcMar>
            <w:vAlign w:val="center"/>
          </w:tcPr>
          <w:p>
            <w:pPr>
              <w:jc w:val="center"/>
              <w:rPr>
                <w:rFonts w:ascii="宋体" w:hAnsi="宋体"/>
                <w:bCs/>
                <w:szCs w:val="21"/>
                <w:highlight w:val="none"/>
              </w:rPr>
            </w:pPr>
          </w:p>
        </w:tc>
        <w:tc>
          <w:tcPr>
            <w:tcW w:w="6462" w:type="dxa"/>
            <w:tcMar>
              <w:top w:w="17" w:type="dxa"/>
              <w:left w:w="17" w:type="dxa"/>
              <w:bottom w:w="0" w:type="dxa"/>
              <w:right w:w="17" w:type="dxa"/>
            </w:tcMar>
            <w:vAlign w:val="center"/>
          </w:tcPr>
          <w:p>
            <w:pPr>
              <w:rPr>
                <w:rFonts w:ascii="宋体" w:hAnsi="宋体"/>
                <w:bCs/>
                <w:szCs w:val="21"/>
                <w:highlight w:val="none"/>
              </w:rPr>
            </w:pPr>
            <w:r>
              <w:rPr>
                <w:rFonts w:hint="eastAsia" w:ascii="宋体" w:hAnsi="宋体"/>
                <w:bCs/>
                <w:szCs w:val="21"/>
                <w:highlight w:val="none"/>
              </w:rPr>
              <w:t>投标人未被列入“信用中国”网站（www.creditchina.gov.cn）“记录失信被执行人或重大税收违法案件当事人名单”记录名单；</w:t>
            </w:r>
          </w:p>
        </w:tc>
        <w:tc>
          <w:tcPr>
            <w:tcW w:w="978" w:type="dxa"/>
            <w:tcMar>
              <w:top w:w="17" w:type="dxa"/>
              <w:left w:w="17" w:type="dxa"/>
              <w:bottom w:w="0" w:type="dxa"/>
              <w:right w:w="17" w:type="dxa"/>
            </w:tcMar>
            <w:vAlign w:val="center"/>
          </w:tcPr>
          <w:p>
            <w:pPr>
              <w:jc w:val="center"/>
              <w:rPr>
                <w:rFonts w:ascii="宋体" w:hAnsi="宋体"/>
                <w:b/>
                <w:bCs/>
                <w:szCs w:val="21"/>
                <w:highlight w:val="none"/>
              </w:rPr>
            </w:pPr>
          </w:p>
        </w:tc>
        <w:tc>
          <w:tcPr>
            <w:tcW w:w="978" w:type="dxa"/>
            <w:tcMar>
              <w:top w:w="17" w:type="dxa"/>
              <w:left w:w="17" w:type="dxa"/>
              <w:bottom w:w="0" w:type="dxa"/>
              <w:right w:w="17" w:type="dxa"/>
            </w:tcMar>
            <w:vAlign w:val="center"/>
          </w:tcPr>
          <w:p>
            <w:pPr>
              <w:jc w:val="center"/>
              <w:rPr>
                <w:rFonts w:ascii="宋体" w:hAnsi="宋体"/>
                <w:b/>
                <w:bCs/>
                <w:szCs w:val="21"/>
                <w:highlight w:val="none"/>
              </w:rPr>
            </w:pPr>
          </w:p>
        </w:tc>
        <w:tc>
          <w:tcPr>
            <w:tcW w:w="978" w:type="dxa"/>
            <w:tcMar>
              <w:top w:w="17" w:type="dxa"/>
              <w:left w:w="17" w:type="dxa"/>
              <w:bottom w:w="0" w:type="dxa"/>
              <w:right w:w="17" w:type="dxa"/>
            </w:tcMar>
            <w:vAlign w:val="center"/>
          </w:tcPr>
          <w:p>
            <w:pPr>
              <w:jc w:val="center"/>
              <w:rPr>
                <w:rFonts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524" w:type="dxa"/>
            <w:tcMar>
              <w:top w:w="17" w:type="dxa"/>
              <w:left w:w="17" w:type="dxa"/>
              <w:bottom w:w="0" w:type="dxa"/>
              <w:right w:w="17" w:type="dxa"/>
            </w:tcMar>
            <w:vAlign w:val="center"/>
          </w:tcPr>
          <w:p>
            <w:pPr>
              <w:jc w:val="center"/>
              <w:rPr>
                <w:rFonts w:ascii="宋体" w:hAnsi="宋体"/>
                <w:b/>
                <w:bCs/>
                <w:szCs w:val="21"/>
                <w:highlight w:val="none"/>
              </w:rPr>
            </w:pPr>
            <w:r>
              <w:rPr>
                <w:rFonts w:hint="eastAsia" w:ascii="宋体" w:hAnsi="宋体"/>
                <w:b/>
                <w:bCs/>
                <w:szCs w:val="21"/>
                <w:highlight w:val="none"/>
              </w:rPr>
              <w:t>12</w:t>
            </w:r>
          </w:p>
        </w:tc>
        <w:tc>
          <w:tcPr>
            <w:tcW w:w="1107" w:type="dxa"/>
            <w:vMerge w:val="continue"/>
            <w:tcMar>
              <w:top w:w="17" w:type="dxa"/>
              <w:left w:w="17" w:type="dxa"/>
              <w:bottom w:w="0" w:type="dxa"/>
              <w:right w:w="17" w:type="dxa"/>
            </w:tcMar>
            <w:vAlign w:val="center"/>
          </w:tcPr>
          <w:p>
            <w:pPr>
              <w:jc w:val="center"/>
              <w:rPr>
                <w:rFonts w:ascii="宋体" w:hAnsi="宋体"/>
                <w:bCs/>
                <w:szCs w:val="21"/>
                <w:highlight w:val="none"/>
              </w:rPr>
            </w:pPr>
          </w:p>
        </w:tc>
        <w:tc>
          <w:tcPr>
            <w:tcW w:w="6462" w:type="dxa"/>
            <w:tcMar>
              <w:top w:w="17" w:type="dxa"/>
              <w:left w:w="17" w:type="dxa"/>
              <w:bottom w:w="0" w:type="dxa"/>
              <w:right w:w="17" w:type="dxa"/>
            </w:tcMar>
            <w:vAlign w:val="center"/>
          </w:tcPr>
          <w:p>
            <w:pPr>
              <w:rPr>
                <w:rFonts w:ascii="宋体" w:hAnsi="宋体"/>
                <w:bCs/>
                <w:szCs w:val="21"/>
                <w:highlight w:val="none"/>
              </w:rPr>
            </w:pPr>
            <w:r>
              <w:rPr>
                <w:rFonts w:hint="eastAsia" w:ascii="宋体" w:hAnsi="宋体"/>
                <w:bCs/>
                <w:szCs w:val="21"/>
                <w:highlight w:val="none"/>
              </w:rPr>
              <w:t>投标人未出现以下情形：与其它投标人的法定代表人或单位负责人为同一人或者存在控股、管理关系的。（按承诺函第8条进行评审）</w:t>
            </w:r>
          </w:p>
        </w:tc>
        <w:tc>
          <w:tcPr>
            <w:tcW w:w="978" w:type="dxa"/>
            <w:tcMar>
              <w:top w:w="17" w:type="dxa"/>
              <w:left w:w="17" w:type="dxa"/>
              <w:bottom w:w="0" w:type="dxa"/>
              <w:right w:w="17" w:type="dxa"/>
            </w:tcMar>
            <w:vAlign w:val="center"/>
          </w:tcPr>
          <w:p>
            <w:pPr>
              <w:jc w:val="center"/>
              <w:rPr>
                <w:rFonts w:ascii="宋体" w:hAnsi="宋体"/>
                <w:b/>
                <w:bCs/>
                <w:szCs w:val="21"/>
                <w:highlight w:val="none"/>
              </w:rPr>
            </w:pPr>
          </w:p>
        </w:tc>
        <w:tc>
          <w:tcPr>
            <w:tcW w:w="978" w:type="dxa"/>
            <w:tcMar>
              <w:top w:w="17" w:type="dxa"/>
              <w:left w:w="17" w:type="dxa"/>
              <w:bottom w:w="0" w:type="dxa"/>
              <w:right w:w="17" w:type="dxa"/>
            </w:tcMar>
            <w:vAlign w:val="center"/>
          </w:tcPr>
          <w:p>
            <w:pPr>
              <w:jc w:val="center"/>
              <w:rPr>
                <w:rFonts w:ascii="宋体" w:hAnsi="宋体"/>
                <w:b/>
                <w:bCs/>
                <w:szCs w:val="21"/>
                <w:highlight w:val="none"/>
              </w:rPr>
            </w:pPr>
          </w:p>
        </w:tc>
        <w:tc>
          <w:tcPr>
            <w:tcW w:w="978" w:type="dxa"/>
            <w:tcMar>
              <w:top w:w="17" w:type="dxa"/>
              <w:left w:w="17" w:type="dxa"/>
              <w:bottom w:w="0" w:type="dxa"/>
              <w:right w:w="17" w:type="dxa"/>
            </w:tcMar>
            <w:vAlign w:val="center"/>
          </w:tcPr>
          <w:p>
            <w:pPr>
              <w:jc w:val="center"/>
              <w:rPr>
                <w:rFonts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524" w:type="dxa"/>
            <w:tcMar>
              <w:top w:w="17" w:type="dxa"/>
              <w:left w:w="17" w:type="dxa"/>
              <w:bottom w:w="0" w:type="dxa"/>
              <w:right w:w="17" w:type="dxa"/>
            </w:tcMar>
            <w:vAlign w:val="center"/>
          </w:tcPr>
          <w:p>
            <w:pPr>
              <w:jc w:val="center"/>
              <w:rPr>
                <w:rFonts w:ascii="宋体" w:hAnsi="宋体"/>
                <w:b/>
                <w:bCs/>
                <w:szCs w:val="21"/>
                <w:highlight w:val="none"/>
              </w:rPr>
            </w:pPr>
            <w:r>
              <w:rPr>
                <w:rFonts w:hint="eastAsia" w:ascii="宋体" w:hAnsi="宋体"/>
                <w:b/>
                <w:bCs/>
                <w:szCs w:val="21"/>
                <w:highlight w:val="none"/>
              </w:rPr>
              <w:t>13</w:t>
            </w:r>
          </w:p>
        </w:tc>
        <w:tc>
          <w:tcPr>
            <w:tcW w:w="1107" w:type="dxa"/>
            <w:vMerge w:val="continue"/>
            <w:tcMar>
              <w:top w:w="17" w:type="dxa"/>
              <w:left w:w="17" w:type="dxa"/>
              <w:bottom w:w="0" w:type="dxa"/>
              <w:right w:w="17" w:type="dxa"/>
            </w:tcMar>
            <w:vAlign w:val="center"/>
          </w:tcPr>
          <w:p>
            <w:pPr>
              <w:jc w:val="center"/>
              <w:rPr>
                <w:rFonts w:ascii="宋体" w:hAnsi="宋体"/>
                <w:bCs/>
                <w:szCs w:val="21"/>
                <w:highlight w:val="none"/>
              </w:rPr>
            </w:pPr>
          </w:p>
        </w:tc>
        <w:tc>
          <w:tcPr>
            <w:tcW w:w="6462" w:type="dxa"/>
            <w:tcMar>
              <w:top w:w="17" w:type="dxa"/>
              <w:left w:w="17" w:type="dxa"/>
              <w:bottom w:w="0" w:type="dxa"/>
              <w:right w:w="17" w:type="dxa"/>
            </w:tcMar>
            <w:vAlign w:val="center"/>
          </w:tcPr>
          <w:p>
            <w:pPr>
              <w:rPr>
                <w:rFonts w:ascii="宋体" w:hAnsi="宋体"/>
                <w:bCs/>
                <w:szCs w:val="21"/>
                <w:highlight w:val="none"/>
              </w:rPr>
            </w:pPr>
            <w:r>
              <w:rPr>
                <w:rFonts w:hint="eastAsia" w:ascii="宋体" w:hAnsi="宋体"/>
                <w:bCs/>
                <w:szCs w:val="21"/>
                <w:highlight w:val="none"/>
              </w:rPr>
              <w:t>投标人未在以往投标中因不诚信行为或不充分履约行为被本项目招标人书面拒绝投标的；</w:t>
            </w:r>
          </w:p>
        </w:tc>
        <w:tc>
          <w:tcPr>
            <w:tcW w:w="978" w:type="dxa"/>
            <w:tcMar>
              <w:top w:w="17" w:type="dxa"/>
              <w:left w:w="17" w:type="dxa"/>
              <w:bottom w:w="0" w:type="dxa"/>
              <w:right w:w="17" w:type="dxa"/>
            </w:tcMar>
            <w:vAlign w:val="center"/>
          </w:tcPr>
          <w:p>
            <w:pPr>
              <w:jc w:val="center"/>
              <w:rPr>
                <w:rFonts w:ascii="宋体" w:hAnsi="宋体"/>
                <w:b/>
                <w:bCs/>
                <w:szCs w:val="21"/>
                <w:highlight w:val="none"/>
              </w:rPr>
            </w:pPr>
          </w:p>
        </w:tc>
        <w:tc>
          <w:tcPr>
            <w:tcW w:w="978" w:type="dxa"/>
            <w:tcMar>
              <w:top w:w="17" w:type="dxa"/>
              <w:left w:w="17" w:type="dxa"/>
              <w:bottom w:w="0" w:type="dxa"/>
              <w:right w:w="17" w:type="dxa"/>
            </w:tcMar>
            <w:vAlign w:val="center"/>
          </w:tcPr>
          <w:p>
            <w:pPr>
              <w:jc w:val="center"/>
              <w:rPr>
                <w:rFonts w:ascii="宋体" w:hAnsi="宋体"/>
                <w:b/>
                <w:bCs/>
                <w:szCs w:val="21"/>
                <w:highlight w:val="none"/>
              </w:rPr>
            </w:pPr>
          </w:p>
        </w:tc>
        <w:tc>
          <w:tcPr>
            <w:tcW w:w="978" w:type="dxa"/>
            <w:tcMar>
              <w:top w:w="17" w:type="dxa"/>
              <w:left w:w="17" w:type="dxa"/>
              <w:bottom w:w="0" w:type="dxa"/>
              <w:right w:w="17" w:type="dxa"/>
            </w:tcMar>
            <w:vAlign w:val="center"/>
          </w:tcPr>
          <w:p>
            <w:pPr>
              <w:jc w:val="center"/>
              <w:rPr>
                <w:rFonts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24" w:type="dxa"/>
            <w:tcMar>
              <w:top w:w="17" w:type="dxa"/>
              <w:left w:w="17" w:type="dxa"/>
              <w:bottom w:w="0" w:type="dxa"/>
              <w:right w:w="17" w:type="dxa"/>
            </w:tcMar>
            <w:vAlign w:val="center"/>
          </w:tcPr>
          <w:p>
            <w:pPr>
              <w:jc w:val="center"/>
              <w:rPr>
                <w:rFonts w:hint="eastAsia" w:ascii="宋体" w:hAnsi="宋体" w:eastAsia="宋体"/>
                <w:b/>
                <w:bCs/>
                <w:szCs w:val="21"/>
                <w:highlight w:val="none"/>
                <w:lang w:eastAsia="zh-CN"/>
              </w:rPr>
            </w:pPr>
            <w:r>
              <w:rPr>
                <w:rFonts w:hint="eastAsia" w:ascii="宋体" w:hAnsi="宋体"/>
                <w:b/>
                <w:bCs/>
                <w:szCs w:val="21"/>
                <w:highlight w:val="none"/>
              </w:rPr>
              <w:t>1</w:t>
            </w:r>
            <w:r>
              <w:rPr>
                <w:rFonts w:hint="eastAsia" w:ascii="宋体" w:hAnsi="宋体"/>
                <w:b/>
                <w:bCs/>
                <w:szCs w:val="21"/>
                <w:highlight w:val="none"/>
                <w:lang w:val="en-US" w:eastAsia="zh-CN"/>
              </w:rPr>
              <w:t>4</w:t>
            </w:r>
          </w:p>
        </w:tc>
        <w:tc>
          <w:tcPr>
            <w:tcW w:w="1107" w:type="dxa"/>
            <w:vMerge w:val="continue"/>
            <w:tcMar>
              <w:top w:w="17" w:type="dxa"/>
              <w:left w:w="17" w:type="dxa"/>
              <w:bottom w:w="0" w:type="dxa"/>
              <w:right w:w="17" w:type="dxa"/>
            </w:tcMar>
            <w:vAlign w:val="center"/>
          </w:tcPr>
          <w:p>
            <w:pPr>
              <w:jc w:val="center"/>
              <w:rPr>
                <w:rFonts w:ascii="宋体" w:hAnsi="宋体"/>
                <w:bCs/>
                <w:szCs w:val="21"/>
                <w:highlight w:val="none"/>
              </w:rPr>
            </w:pPr>
          </w:p>
        </w:tc>
        <w:tc>
          <w:tcPr>
            <w:tcW w:w="6462" w:type="dxa"/>
            <w:tcMar>
              <w:top w:w="17" w:type="dxa"/>
              <w:left w:w="17" w:type="dxa"/>
              <w:bottom w:w="0" w:type="dxa"/>
              <w:right w:w="17" w:type="dxa"/>
            </w:tcMar>
            <w:vAlign w:val="center"/>
          </w:tcPr>
          <w:p>
            <w:pPr>
              <w:rPr>
                <w:rFonts w:ascii="宋体" w:hAnsi="宋体"/>
                <w:bCs/>
                <w:szCs w:val="21"/>
                <w:highlight w:val="none"/>
              </w:rPr>
            </w:pPr>
            <w:r>
              <w:rPr>
                <w:rFonts w:hint="eastAsia" w:ascii="宋体" w:hAnsi="宋体"/>
                <w:bCs/>
                <w:szCs w:val="21"/>
                <w:highlight w:val="none"/>
              </w:rPr>
              <w:t>本项目不接受联合体投标；</w:t>
            </w:r>
          </w:p>
        </w:tc>
        <w:tc>
          <w:tcPr>
            <w:tcW w:w="978" w:type="dxa"/>
            <w:tcMar>
              <w:top w:w="17" w:type="dxa"/>
              <w:left w:w="17" w:type="dxa"/>
              <w:bottom w:w="0" w:type="dxa"/>
              <w:right w:w="17" w:type="dxa"/>
            </w:tcMar>
            <w:vAlign w:val="center"/>
          </w:tcPr>
          <w:p>
            <w:pPr>
              <w:jc w:val="center"/>
              <w:rPr>
                <w:rFonts w:ascii="宋体" w:hAnsi="宋体"/>
                <w:b/>
                <w:bCs/>
                <w:szCs w:val="21"/>
                <w:highlight w:val="none"/>
              </w:rPr>
            </w:pPr>
          </w:p>
        </w:tc>
        <w:tc>
          <w:tcPr>
            <w:tcW w:w="978" w:type="dxa"/>
            <w:tcMar>
              <w:top w:w="17" w:type="dxa"/>
              <w:left w:w="17" w:type="dxa"/>
              <w:bottom w:w="0" w:type="dxa"/>
              <w:right w:w="17" w:type="dxa"/>
            </w:tcMar>
            <w:vAlign w:val="center"/>
          </w:tcPr>
          <w:p>
            <w:pPr>
              <w:jc w:val="center"/>
              <w:rPr>
                <w:rFonts w:ascii="宋体" w:hAnsi="宋体"/>
                <w:b/>
                <w:bCs/>
                <w:szCs w:val="21"/>
                <w:highlight w:val="none"/>
              </w:rPr>
            </w:pPr>
          </w:p>
        </w:tc>
        <w:tc>
          <w:tcPr>
            <w:tcW w:w="978" w:type="dxa"/>
            <w:tcMar>
              <w:top w:w="17" w:type="dxa"/>
              <w:left w:w="17" w:type="dxa"/>
              <w:bottom w:w="0" w:type="dxa"/>
              <w:right w:w="17" w:type="dxa"/>
            </w:tcMar>
            <w:vAlign w:val="center"/>
          </w:tcPr>
          <w:p>
            <w:pPr>
              <w:jc w:val="center"/>
              <w:rPr>
                <w:rFonts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8093" w:type="dxa"/>
            <w:gridSpan w:val="3"/>
            <w:tcMar>
              <w:top w:w="17" w:type="dxa"/>
              <w:left w:w="17" w:type="dxa"/>
              <w:bottom w:w="0" w:type="dxa"/>
              <w:right w:w="17" w:type="dxa"/>
            </w:tcMar>
            <w:vAlign w:val="center"/>
          </w:tcPr>
          <w:p>
            <w:pPr>
              <w:jc w:val="center"/>
              <w:rPr>
                <w:rFonts w:ascii="宋体" w:hAnsi="宋体"/>
                <w:bCs/>
                <w:szCs w:val="21"/>
                <w:highlight w:val="none"/>
              </w:rPr>
            </w:pPr>
            <w:r>
              <w:rPr>
                <w:rFonts w:hint="eastAsia" w:ascii="宋体" w:hAnsi="宋体"/>
                <w:b/>
                <w:bCs/>
                <w:szCs w:val="21"/>
                <w:highlight w:val="none"/>
              </w:rPr>
              <w:t>　</w:t>
            </w:r>
            <w:r>
              <w:rPr>
                <w:rFonts w:hint="eastAsia" w:ascii="宋体" w:hAnsi="宋体"/>
                <w:bCs/>
                <w:szCs w:val="21"/>
                <w:highlight w:val="none"/>
              </w:rPr>
              <w:t>是否通过并进入下一阶段评审</w:t>
            </w:r>
          </w:p>
        </w:tc>
        <w:tc>
          <w:tcPr>
            <w:tcW w:w="978" w:type="dxa"/>
            <w:tcMar>
              <w:top w:w="17" w:type="dxa"/>
              <w:left w:w="17" w:type="dxa"/>
              <w:bottom w:w="0" w:type="dxa"/>
              <w:right w:w="17" w:type="dxa"/>
            </w:tcMar>
            <w:vAlign w:val="center"/>
          </w:tcPr>
          <w:p>
            <w:pPr>
              <w:jc w:val="center"/>
              <w:rPr>
                <w:rFonts w:ascii="宋体" w:hAnsi="宋体"/>
                <w:b/>
                <w:bCs/>
                <w:szCs w:val="21"/>
                <w:highlight w:val="none"/>
              </w:rPr>
            </w:pPr>
          </w:p>
        </w:tc>
        <w:tc>
          <w:tcPr>
            <w:tcW w:w="978" w:type="dxa"/>
            <w:tcMar>
              <w:top w:w="17" w:type="dxa"/>
              <w:left w:w="17" w:type="dxa"/>
              <w:bottom w:w="0" w:type="dxa"/>
              <w:right w:w="17" w:type="dxa"/>
            </w:tcMar>
            <w:vAlign w:val="center"/>
          </w:tcPr>
          <w:p>
            <w:pPr>
              <w:jc w:val="center"/>
              <w:rPr>
                <w:rFonts w:ascii="宋体" w:hAnsi="宋体"/>
                <w:b/>
                <w:bCs/>
                <w:szCs w:val="21"/>
                <w:highlight w:val="none"/>
              </w:rPr>
            </w:pPr>
          </w:p>
        </w:tc>
        <w:tc>
          <w:tcPr>
            <w:tcW w:w="978" w:type="dxa"/>
            <w:tcMar>
              <w:top w:w="17" w:type="dxa"/>
              <w:left w:w="17" w:type="dxa"/>
              <w:bottom w:w="0" w:type="dxa"/>
              <w:right w:w="17" w:type="dxa"/>
            </w:tcMar>
            <w:vAlign w:val="center"/>
          </w:tcPr>
          <w:p>
            <w:pPr>
              <w:jc w:val="center"/>
              <w:rPr>
                <w:rFonts w:ascii="宋体" w:hAnsi="宋体"/>
                <w:b/>
                <w:bCs/>
                <w:szCs w:val="21"/>
                <w:highlight w:val="none"/>
              </w:rPr>
            </w:pPr>
          </w:p>
        </w:tc>
      </w:tr>
    </w:tbl>
    <w:p>
      <w:pPr>
        <w:rPr>
          <w:rFonts w:ascii="宋体" w:hAnsi="宋体"/>
          <w:bCs/>
          <w:szCs w:val="21"/>
          <w:highlight w:val="none"/>
        </w:rPr>
      </w:pPr>
      <w:r>
        <w:rPr>
          <w:rFonts w:hint="eastAsia" w:ascii="宋体" w:hAnsi="宋体"/>
          <w:bCs/>
          <w:szCs w:val="21"/>
          <w:highlight w:val="none"/>
        </w:rPr>
        <w:t>备注：（</w:t>
      </w:r>
      <w:r>
        <w:rPr>
          <w:rFonts w:ascii="宋体" w:hAnsi="宋体"/>
          <w:bCs/>
          <w:szCs w:val="21"/>
          <w:highlight w:val="none"/>
        </w:rPr>
        <w:t>1</w:t>
      </w:r>
      <w:r>
        <w:rPr>
          <w:rFonts w:hint="eastAsia" w:ascii="宋体" w:hAnsi="宋体"/>
          <w:bCs/>
          <w:szCs w:val="21"/>
          <w:highlight w:val="none"/>
        </w:rPr>
        <w:t>）</w:t>
      </w:r>
      <w:r>
        <w:rPr>
          <w:rFonts w:ascii="宋体" w:hAnsi="宋体"/>
          <w:bCs/>
          <w:szCs w:val="21"/>
          <w:highlight w:val="none"/>
        </w:rPr>
        <w:t>“</w:t>
      </w:r>
      <w:r>
        <w:rPr>
          <w:rFonts w:hint="eastAsia" w:ascii="宋体" w:hAnsi="宋体"/>
          <w:bCs/>
          <w:szCs w:val="21"/>
          <w:highlight w:val="none"/>
        </w:rPr>
        <w:t>是否通过并进入下一阶段评审”一栏应写“通过”或“不通过”。</w:t>
      </w:r>
    </w:p>
    <w:p>
      <w:pPr>
        <w:ind w:firstLine="525"/>
        <w:rPr>
          <w:rFonts w:ascii="宋体" w:hAnsi="宋体"/>
          <w:bCs/>
          <w:szCs w:val="21"/>
          <w:highlight w:val="none"/>
        </w:rPr>
      </w:pPr>
      <w:r>
        <w:rPr>
          <w:rFonts w:hint="eastAsia" w:ascii="宋体" w:hAnsi="宋体"/>
          <w:bCs/>
          <w:szCs w:val="21"/>
          <w:highlight w:val="none"/>
        </w:rPr>
        <w:t>（</w:t>
      </w:r>
      <w:r>
        <w:rPr>
          <w:rFonts w:ascii="宋体" w:hAnsi="宋体"/>
          <w:bCs/>
          <w:szCs w:val="21"/>
          <w:highlight w:val="none"/>
        </w:rPr>
        <w:t>2</w:t>
      </w:r>
      <w:r>
        <w:rPr>
          <w:rFonts w:hint="eastAsia" w:ascii="宋体" w:hAnsi="宋体"/>
          <w:bCs/>
          <w:szCs w:val="21"/>
          <w:highlight w:val="none"/>
        </w:rPr>
        <w:t>）每一项符合的打“○”，不符合的打“×”。出现一个“×”的结论为“不通过”。</w:t>
      </w:r>
    </w:p>
    <w:p>
      <w:pPr>
        <w:ind w:firstLine="518" w:firstLineChars="247"/>
        <w:rPr>
          <w:rFonts w:ascii="宋体" w:hAnsi="宋体"/>
          <w:bCs/>
          <w:szCs w:val="21"/>
          <w:highlight w:val="none"/>
        </w:rPr>
      </w:pPr>
      <w:r>
        <w:rPr>
          <w:rFonts w:hint="eastAsia" w:ascii="宋体" w:hAnsi="宋体"/>
          <w:bCs/>
          <w:szCs w:val="21"/>
          <w:highlight w:val="none"/>
        </w:rPr>
        <w:t>（3）表中全部条件符合的为“通过”，同意进入下一阶段评审。</w:t>
      </w:r>
    </w:p>
    <w:p>
      <w:pPr>
        <w:ind w:firstLine="518" w:firstLineChars="247"/>
        <w:rPr>
          <w:rFonts w:ascii="宋体" w:hAnsi="宋体"/>
          <w:b/>
          <w:bCs/>
          <w:szCs w:val="21"/>
          <w:highlight w:val="none"/>
        </w:rPr>
      </w:pPr>
      <w:r>
        <w:rPr>
          <w:rFonts w:hint="eastAsia" w:ascii="宋体" w:hAnsi="宋体"/>
          <w:bCs/>
          <w:szCs w:val="21"/>
          <w:highlight w:val="none"/>
        </w:rPr>
        <w:t>（4）若评委意见不一致时，则按少数服从多数的原则，决定该投标人是否通过资格</w:t>
      </w:r>
      <w:r>
        <w:rPr>
          <w:rFonts w:ascii="宋体" w:hAnsi="宋体"/>
          <w:bCs/>
          <w:szCs w:val="21"/>
          <w:highlight w:val="none"/>
        </w:rPr>
        <w:t>和</w:t>
      </w:r>
      <w:r>
        <w:rPr>
          <w:rFonts w:hint="eastAsia" w:ascii="宋体" w:hAnsi="宋体"/>
          <w:bCs/>
          <w:szCs w:val="21"/>
          <w:highlight w:val="none"/>
        </w:rPr>
        <w:t>符合性审查，进入下一阶段评审。</w:t>
      </w:r>
    </w:p>
    <w:p>
      <w:pPr>
        <w:ind w:firstLine="521" w:firstLineChars="247"/>
        <w:rPr>
          <w:rFonts w:ascii="宋体" w:hAnsi="宋体"/>
          <w:b/>
          <w:bCs/>
          <w:szCs w:val="21"/>
          <w:highlight w:val="none"/>
        </w:rPr>
      </w:pPr>
      <w:r>
        <w:rPr>
          <w:rFonts w:ascii="宋体" w:hAnsi="宋体"/>
          <w:b/>
          <w:bCs/>
          <w:szCs w:val="21"/>
          <w:highlight w:val="none"/>
        </w:rPr>
        <w:t xml:space="preserve"> </w:t>
      </w:r>
    </w:p>
    <w:p>
      <w:pPr>
        <w:ind w:firstLine="521" w:firstLineChars="247"/>
        <w:rPr>
          <w:rFonts w:ascii="宋体" w:hAnsi="宋体"/>
          <w:szCs w:val="21"/>
          <w:highlight w:val="none"/>
        </w:rPr>
      </w:pPr>
      <w:r>
        <w:rPr>
          <w:rFonts w:hint="eastAsia" w:ascii="宋体" w:hAnsi="宋体"/>
          <w:b/>
          <w:bCs/>
          <w:szCs w:val="21"/>
          <w:highlight w:val="none"/>
        </w:rPr>
        <w:t xml:space="preserve">评委签名：                                </w:t>
      </w:r>
      <w:r>
        <w:rPr>
          <w:rFonts w:hint="eastAsia" w:ascii="宋体" w:hAnsi="宋体"/>
          <w:szCs w:val="21"/>
          <w:highlight w:val="none"/>
        </w:rPr>
        <w:t>日期：2022年   月   日</w:t>
      </w:r>
    </w:p>
    <w:p>
      <w:pPr>
        <w:pStyle w:val="3"/>
        <w:rPr>
          <w:rFonts w:ascii="宋体" w:eastAsia="宋体" w:cs="宋体"/>
          <w:b w:val="0"/>
          <w:bCs w:val="0"/>
          <w:szCs w:val="24"/>
          <w:highlight w:val="none"/>
        </w:rPr>
      </w:pPr>
    </w:p>
    <w:p>
      <w:pPr>
        <w:tabs>
          <w:tab w:val="left" w:pos="992"/>
        </w:tabs>
        <w:spacing w:line="360" w:lineRule="auto"/>
        <w:jc w:val="left"/>
        <w:rPr>
          <w:rFonts w:ascii="宋体" w:hAnsi="宋体"/>
          <w:sz w:val="24"/>
          <w:highlight w:val="none"/>
        </w:rPr>
        <w:sectPr>
          <w:pgSz w:w="11907" w:h="16840"/>
          <w:pgMar w:top="1247" w:right="1588" w:bottom="1440" w:left="1588" w:header="851" w:footer="992" w:gutter="0"/>
          <w:cols w:space="720" w:num="1"/>
          <w:docGrid w:type="lines" w:linePitch="312" w:charSpace="0"/>
        </w:sectPr>
      </w:pPr>
      <w:r>
        <w:rPr>
          <w:rFonts w:hint="eastAsia" w:ascii="宋体" w:hAnsi="宋体"/>
          <w:highlight w:val="none"/>
        </w:rPr>
        <w:t xml:space="preserve">                 </w:t>
      </w:r>
    </w:p>
    <w:p>
      <w:pPr>
        <w:rPr>
          <w:rFonts w:ascii="宋体" w:hAnsi="宋体"/>
          <w:b/>
          <w:bCs/>
          <w:sz w:val="24"/>
          <w:highlight w:val="none"/>
        </w:rPr>
      </w:pPr>
      <w:r>
        <w:rPr>
          <w:rFonts w:hint="eastAsia" w:ascii="宋体" w:hAnsi="宋体"/>
          <w:b/>
          <w:bCs/>
          <w:sz w:val="24"/>
          <w:highlight w:val="none"/>
        </w:rPr>
        <w:t>附件2：                                            综合评审表</w:t>
      </w:r>
    </w:p>
    <w:tbl>
      <w:tblPr>
        <w:tblStyle w:val="26"/>
        <w:tblW w:w="1513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56"/>
        <w:gridCol w:w="416"/>
        <w:gridCol w:w="1900"/>
        <w:gridCol w:w="542"/>
        <w:gridCol w:w="9568"/>
        <w:gridCol w:w="720"/>
        <w:gridCol w:w="692"/>
        <w:gridCol w:w="7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556" w:type="dxa"/>
            <w:vAlign w:val="center"/>
          </w:tcPr>
          <w:p>
            <w:pPr>
              <w:spacing w:line="240" w:lineRule="auto"/>
              <w:jc w:val="center"/>
              <w:rPr>
                <w:rFonts w:ascii="宋体" w:hAnsi="宋体" w:cs="宋体"/>
                <w:b/>
                <w:bCs/>
                <w:szCs w:val="21"/>
                <w:highlight w:val="none"/>
              </w:rPr>
            </w:pPr>
            <w:bookmarkStart w:id="46" w:name="_Hlt475694889"/>
            <w:bookmarkEnd w:id="46"/>
            <w:bookmarkStart w:id="47" w:name="_Toc98579611"/>
            <w:bookmarkStart w:id="48" w:name="_Toc50276166"/>
            <w:bookmarkStart w:id="49" w:name="_Toc98035090"/>
            <w:bookmarkStart w:id="50" w:name="_Toc42313167"/>
            <w:bookmarkStart w:id="51" w:name="_Toc42394518"/>
            <w:bookmarkStart w:id="52" w:name="_Toc98579070"/>
            <w:bookmarkStart w:id="53" w:name="_Toc41884707"/>
            <w:bookmarkStart w:id="54" w:name="_Toc46308532"/>
            <w:bookmarkStart w:id="55" w:name="_Hlk36537860"/>
            <w:bookmarkStart w:id="56" w:name="_Toc98580294"/>
            <w:bookmarkStart w:id="57" w:name="_Toc42394674"/>
            <w:bookmarkStart w:id="58" w:name="_Toc46308688"/>
            <w:bookmarkStart w:id="59" w:name="_Toc41723937"/>
            <w:bookmarkStart w:id="60" w:name="_Toc50276205"/>
            <w:bookmarkStart w:id="61" w:name="_Toc41884701"/>
            <w:bookmarkStart w:id="62" w:name="_Toc42313173"/>
            <w:bookmarkStart w:id="63" w:name="_Toc98579012"/>
            <w:bookmarkStart w:id="64" w:name="_Toc41723931"/>
            <w:r>
              <w:rPr>
                <w:rFonts w:hint="eastAsia" w:ascii="宋体" w:hAnsi="宋体" w:cs="宋体"/>
                <w:b/>
                <w:bCs/>
                <w:szCs w:val="21"/>
                <w:highlight w:val="none"/>
              </w:rPr>
              <w:t>序号</w:t>
            </w:r>
          </w:p>
        </w:tc>
        <w:tc>
          <w:tcPr>
            <w:tcW w:w="2316" w:type="dxa"/>
            <w:gridSpan w:val="2"/>
            <w:vAlign w:val="center"/>
          </w:tcPr>
          <w:p>
            <w:pPr>
              <w:spacing w:line="240" w:lineRule="auto"/>
              <w:jc w:val="center"/>
              <w:rPr>
                <w:rFonts w:ascii="宋体" w:hAnsi="宋体" w:cs="宋体"/>
                <w:b/>
                <w:bCs/>
                <w:szCs w:val="21"/>
                <w:highlight w:val="none"/>
              </w:rPr>
            </w:pPr>
            <w:r>
              <w:rPr>
                <w:rFonts w:hint="eastAsia" w:ascii="宋体" w:hAnsi="宋体" w:cs="宋体"/>
                <w:b/>
                <w:bCs/>
                <w:szCs w:val="21"/>
                <w:highlight w:val="none"/>
              </w:rPr>
              <w:t>评分项目</w:t>
            </w:r>
          </w:p>
        </w:tc>
        <w:tc>
          <w:tcPr>
            <w:tcW w:w="542" w:type="dxa"/>
            <w:vAlign w:val="center"/>
          </w:tcPr>
          <w:p>
            <w:pPr>
              <w:spacing w:line="240" w:lineRule="auto"/>
              <w:jc w:val="center"/>
              <w:rPr>
                <w:rFonts w:ascii="宋体" w:hAnsi="宋体" w:cs="宋体"/>
                <w:b/>
                <w:bCs/>
                <w:szCs w:val="21"/>
                <w:highlight w:val="none"/>
              </w:rPr>
            </w:pPr>
            <w:r>
              <w:rPr>
                <w:rFonts w:hint="eastAsia" w:ascii="宋体" w:hAnsi="宋体" w:cs="宋体"/>
                <w:b/>
                <w:bCs/>
                <w:szCs w:val="21"/>
                <w:highlight w:val="none"/>
              </w:rPr>
              <w:t>分值</w:t>
            </w:r>
          </w:p>
        </w:tc>
        <w:tc>
          <w:tcPr>
            <w:tcW w:w="9568" w:type="dxa"/>
            <w:vAlign w:val="center"/>
          </w:tcPr>
          <w:p>
            <w:pPr>
              <w:spacing w:line="240" w:lineRule="auto"/>
              <w:jc w:val="center"/>
              <w:rPr>
                <w:rFonts w:ascii="宋体" w:hAnsi="宋体" w:cs="宋体"/>
                <w:b/>
                <w:bCs/>
                <w:szCs w:val="21"/>
                <w:highlight w:val="none"/>
              </w:rPr>
            </w:pPr>
            <w:r>
              <w:rPr>
                <w:rFonts w:hint="eastAsia" w:ascii="宋体" w:hAnsi="宋体" w:cs="宋体"/>
                <w:b/>
                <w:bCs/>
                <w:szCs w:val="21"/>
                <w:highlight w:val="none"/>
              </w:rPr>
              <w:t>评分标准</w:t>
            </w:r>
          </w:p>
        </w:tc>
        <w:tc>
          <w:tcPr>
            <w:tcW w:w="720" w:type="dxa"/>
            <w:vAlign w:val="center"/>
          </w:tcPr>
          <w:p>
            <w:pPr>
              <w:spacing w:line="240" w:lineRule="auto"/>
              <w:jc w:val="center"/>
              <w:rPr>
                <w:rFonts w:ascii="宋体" w:hAnsi="宋体" w:cs="宋体"/>
                <w:b/>
                <w:bCs/>
                <w:szCs w:val="21"/>
                <w:highlight w:val="none"/>
              </w:rPr>
            </w:pPr>
            <w:r>
              <w:rPr>
                <w:rFonts w:hint="eastAsia" w:ascii="宋体" w:hAnsi="宋体" w:cs="宋体"/>
                <w:b/>
                <w:bCs/>
                <w:szCs w:val="21"/>
                <w:highlight w:val="none"/>
              </w:rPr>
              <w:t>投标单位A</w:t>
            </w:r>
          </w:p>
        </w:tc>
        <w:tc>
          <w:tcPr>
            <w:tcW w:w="692" w:type="dxa"/>
            <w:vAlign w:val="center"/>
          </w:tcPr>
          <w:p>
            <w:pPr>
              <w:spacing w:line="240" w:lineRule="auto"/>
              <w:jc w:val="center"/>
              <w:rPr>
                <w:rFonts w:ascii="宋体" w:hAnsi="宋体" w:cs="宋体"/>
                <w:b/>
                <w:bCs/>
                <w:szCs w:val="21"/>
                <w:highlight w:val="none"/>
              </w:rPr>
            </w:pPr>
            <w:r>
              <w:rPr>
                <w:rFonts w:hint="eastAsia" w:ascii="宋体" w:hAnsi="宋体" w:cs="宋体"/>
                <w:b/>
                <w:bCs/>
                <w:szCs w:val="21"/>
                <w:highlight w:val="none"/>
              </w:rPr>
              <w:t>投标单位B</w:t>
            </w:r>
          </w:p>
        </w:tc>
        <w:tc>
          <w:tcPr>
            <w:tcW w:w="740" w:type="dxa"/>
            <w:vAlign w:val="center"/>
          </w:tcPr>
          <w:p>
            <w:pPr>
              <w:spacing w:line="240" w:lineRule="auto"/>
              <w:jc w:val="center"/>
              <w:rPr>
                <w:rFonts w:ascii="宋体" w:hAnsi="宋体" w:cs="宋体"/>
                <w:b/>
                <w:bCs/>
                <w:szCs w:val="21"/>
                <w:highlight w:val="none"/>
              </w:rPr>
            </w:pPr>
            <w:r>
              <w:rPr>
                <w:rFonts w:hint="eastAsia" w:ascii="宋体" w:hAnsi="宋体" w:cs="宋体"/>
                <w:b/>
                <w:bCs/>
                <w:szCs w:val="21"/>
                <w:highlight w:val="none"/>
              </w:rPr>
              <w:t>投标单位C</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6" w:type="dxa"/>
            <w:vAlign w:val="center"/>
          </w:tcPr>
          <w:p>
            <w:pPr>
              <w:spacing w:line="240" w:lineRule="auto"/>
              <w:jc w:val="center"/>
              <w:rPr>
                <w:rFonts w:ascii="宋体" w:hAnsi="宋体" w:cs="宋体"/>
                <w:b/>
                <w:bCs/>
                <w:szCs w:val="21"/>
                <w:highlight w:val="none"/>
              </w:rPr>
            </w:pPr>
            <w:r>
              <w:rPr>
                <w:rFonts w:hint="eastAsia" w:ascii="宋体" w:hAnsi="宋体" w:cs="宋体"/>
                <w:b/>
                <w:bCs/>
                <w:szCs w:val="21"/>
                <w:highlight w:val="none"/>
              </w:rPr>
              <w:t>1</w:t>
            </w:r>
          </w:p>
        </w:tc>
        <w:tc>
          <w:tcPr>
            <w:tcW w:w="416" w:type="dxa"/>
            <w:vMerge w:val="restart"/>
            <w:vAlign w:val="center"/>
          </w:tcPr>
          <w:p>
            <w:pPr>
              <w:spacing w:line="240" w:lineRule="auto"/>
              <w:jc w:val="center"/>
              <w:rPr>
                <w:rFonts w:ascii="宋体" w:hAnsi="宋体" w:cs="宋体"/>
                <w:bCs/>
                <w:szCs w:val="21"/>
                <w:highlight w:val="none"/>
              </w:rPr>
            </w:pPr>
            <w:r>
              <w:rPr>
                <w:rFonts w:hint="eastAsia" w:ascii="宋体" w:hAnsi="宋体" w:cs="宋体"/>
                <w:bCs/>
                <w:szCs w:val="21"/>
                <w:highlight w:val="none"/>
              </w:rPr>
              <w:t>资信业绩部分</w:t>
            </w:r>
          </w:p>
        </w:tc>
        <w:tc>
          <w:tcPr>
            <w:tcW w:w="1900" w:type="dxa"/>
            <w:vAlign w:val="center"/>
          </w:tcPr>
          <w:p>
            <w:pPr>
              <w:spacing w:line="240" w:lineRule="auto"/>
              <w:jc w:val="center"/>
              <w:rPr>
                <w:rFonts w:ascii="宋体" w:hAnsi="宋体" w:cs="宋体"/>
                <w:bCs/>
                <w:szCs w:val="21"/>
                <w:highlight w:val="none"/>
              </w:rPr>
            </w:pPr>
            <w:r>
              <w:rPr>
                <w:rFonts w:hint="eastAsia" w:ascii="宋体" w:hAnsi="宋体" w:cs="宋体"/>
                <w:bCs/>
                <w:szCs w:val="21"/>
                <w:highlight w:val="none"/>
              </w:rPr>
              <w:t>同类业绩</w:t>
            </w:r>
          </w:p>
        </w:tc>
        <w:tc>
          <w:tcPr>
            <w:tcW w:w="542" w:type="dxa"/>
            <w:vAlign w:val="center"/>
          </w:tcPr>
          <w:p>
            <w:pPr>
              <w:spacing w:line="240" w:lineRule="auto"/>
              <w:jc w:val="center"/>
              <w:rPr>
                <w:rFonts w:ascii="宋体" w:hAnsi="宋体" w:cs="宋体"/>
                <w:bCs/>
                <w:szCs w:val="21"/>
                <w:highlight w:val="none"/>
              </w:rPr>
            </w:pPr>
            <w:r>
              <w:rPr>
                <w:rFonts w:hint="eastAsia" w:ascii="宋体" w:hAnsi="宋体" w:cs="宋体"/>
                <w:bCs/>
                <w:szCs w:val="21"/>
                <w:highlight w:val="none"/>
              </w:rPr>
              <w:t>7</w:t>
            </w:r>
          </w:p>
        </w:tc>
        <w:tc>
          <w:tcPr>
            <w:tcW w:w="9568" w:type="dxa"/>
            <w:vAlign w:val="center"/>
          </w:tcPr>
          <w:p>
            <w:pPr>
              <w:spacing w:line="240" w:lineRule="auto"/>
              <w:rPr>
                <w:highlight w:val="none"/>
              </w:rPr>
            </w:pPr>
            <w:r>
              <w:rPr>
                <w:rFonts w:hint="eastAsia"/>
                <w:highlight w:val="none"/>
              </w:rPr>
              <w:t>（1）投标人作为产品制造商具有同类办公家具类或软装家具类业绩的，每个得1分，最高可得5分；</w:t>
            </w:r>
          </w:p>
          <w:p>
            <w:pPr>
              <w:spacing w:line="240" w:lineRule="auto"/>
              <w:rPr>
                <w:highlight w:val="none"/>
              </w:rPr>
            </w:pPr>
            <w:r>
              <w:rPr>
                <w:rFonts w:hint="eastAsia"/>
                <w:highlight w:val="none"/>
              </w:rPr>
              <w:t>（2）投标人作为授权代理商具有同类办公家具类或软装家具类业绩的，每个得1分，最高可得2分。</w:t>
            </w:r>
          </w:p>
          <w:p>
            <w:pPr>
              <w:pStyle w:val="14"/>
              <w:spacing w:line="240" w:lineRule="auto"/>
              <w:rPr>
                <w:highlight w:val="none"/>
              </w:rPr>
            </w:pPr>
            <w:r>
              <w:rPr>
                <w:rFonts w:hint="eastAsia" w:hAnsi="宋体" w:cs="宋体"/>
                <w:bCs/>
                <w:szCs w:val="21"/>
                <w:highlight w:val="none"/>
              </w:rPr>
              <w:t>本项最高可得7分。</w:t>
            </w:r>
          </w:p>
        </w:tc>
        <w:tc>
          <w:tcPr>
            <w:tcW w:w="720" w:type="dxa"/>
            <w:vAlign w:val="center"/>
          </w:tcPr>
          <w:p>
            <w:pPr>
              <w:spacing w:line="240" w:lineRule="auto"/>
              <w:jc w:val="center"/>
              <w:rPr>
                <w:rFonts w:ascii="宋体" w:hAnsi="宋体" w:cs="宋体"/>
                <w:bCs/>
                <w:szCs w:val="21"/>
                <w:highlight w:val="none"/>
              </w:rPr>
            </w:pPr>
          </w:p>
        </w:tc>
        <w:tc>
          <w:tcPr>
            <w:tcW w:w="692" w:type="dxa"/>
            <w:vAlign w:val="center"/>
          </w:tcPr>
          <w:p>
            <w:pPr>
              <w:spacing w:line="240" w:lineRule="auto"/>
              <w:jc w:val="center"/>
              <w:rPr>
                <w:rFonts w:ascii="宋体" w:hAnsi="宋体" w:cs="宋体"/>
                <w:bCs/>
                <w:szCs w:val="21"/>
                <w:highlight w:val="none"/>
              </w:rPr>
            </w:pPr>
          </w:p>
        </w:tc>
        <w:tc>
          <w:tcPr>
            <w:tcW w:w="740" w:type="dxa"/>
            <w:vAlign w:val="center"/>
          </w:tcPr>
          <w:p>
            <w:pPr>
              <w:spacing w:line="240" w:lineRule="auto"/>
              <w:jc w:val="center"/>
              <w:rPr>
                <w:rFonts w:ascii="宋体" w:hAnsi="宋体" w:cs="宋体"/>
                <w:bCs/>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56" w:type="dxa"/>
            <w:vAlign w:val="center"/>
          </w:tcPr>
          <w:p>
            <w:pPr>
              <w:spacing w:line="240" w:lineRule="auto"/>
              <w:jc w:val="center"/>
              <w:rPr>
                <w:rFonts w:hint="eastAsia" w:ascii="宋体" w:hAnsi="宋体" w:eastAsia="宋体" w:cs="宋体"/>
                <w:b/>
                <w:bCs/>
                <w:kern w:val="2"/>
                <w:sz w:val="21"/>
                <w:szCs w:val="21"/>
                <w:highlight w:val="none"/>
                <w:lang w:val="en-US" w:eastAsia="zh-CN" w:bidi="ar-SA"/>
              </w:rPr>
            </w:pPr>
            <w:r>
              <w:rPr>
                <w:rFonts w:hint="eastAsia" w:ascii="宋体" w:hAnsi="宋体" w:cs="宋体"/>
                <w:b/>
                <w:bCs/>
                <w:szCs w:val="21"/>
                <w:highlight w:val="none"/>
              </w:rPr>
              <w:t>2</w:t>
            </w:r>
          </w:p>
        </w:tc>
        <w:tc>
          <w:tcPr>
            <w:tcW w:w="416" w:type="dxa"/>
            <w:vMerge w:val="continue"/>
            <w:vAlign w:val="center"/>
          </w:tcPr>
          <w:p>
            <w:pPr>
              <w:spacing w:line="240" w:lineRule="auto"/>
              <w:jc w:val="center"/>
              <w:rPr>
                <w:rFonts w:ascii="宋体" w:hAnsi="宋体" w:cs="宋体"/>
                <w:bCs/>
                <w:szCs w:val="21"/>
                <w:highlight w:val="none"/>
              </w:rPr>
            </w:pPr>
          </w:p>
        </w:tc>
        <w:tc>
          <w:tcPr>
            <w:tcW w:w="1900" w:type="dxa"/>
            <w:vAlign w:val="center"/>
          </w:tcPr>
          <w:p>
            <w:pPr>
              <w:widowControl/>
              <w:spacing w:line="240" w:lineRule="auto"/>
              <w:jc w:val="center"/>
              <w:textAlignment w:val="center"/>
              <w:rPr>
                <w:rFonts w:hint="eastAsia" w:ascii="宋体" w:hAnsi="宋体" w:eastAsia="宋体" w:cs="宋体"/>
                <w:bCs/>
                <w:kern w:val="2"/>
                <w:sz w:val="21"/>
                <w:szCs w:val="21"/>
                <w:highlight w:val="none"/>
                <w:lang w:val="en-US" w:eastAsia="zh-CN" w:bidi="ar-SA"/>
              </w:rPr>
            </w:pPr>
            <w:r>
              <w:rPr>
                <w:rFonts w:hint="eastAsia" w:ascii="宋体" w:hAnsi="宋体" w:cs="宋体"/>
                <w:color w:val="000000"/>
                <w:kern w:val="0"/>
                <w:szCs w:val="21"/>
                <w:highlight w:val="none"/>
                <w:lang w:bidi="ar"/>
              </w:rPr>
              <w:t>体系认证</w:t>
            </w:r>
          </w:p>
        </w:tc>
        <w:tc>
          <w:tcPr>
            <w:tcW w:w="542" w:type="dxa"/>
            <w:vAlign w:val="center"/>
          </w:tcPr>
          <w:p>
            <w:pPr>
              <w:widowControl/>
              <w:spacing w:line="240" w:lineRule="auto"/>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cs="宋体"/>
                <w:color w:val="000000"/>
                <w:kern w:val="0"/>
                <w:szCs w:val="21"/>
                <w:highlight w:val="none"/>
                <w:lang w:bidi="ar"/>
              </w:rPr>
              <w:t>6</w:t>
            </w:r>
          </w:p>
        </w:tc>
        <w:tc>
          <w:tcPr>
            <w:tcW w:w="9568" w:type="dxa"/>
            <w:vAlign w:val="center"/>
          </w:tcPr>
          <w:p>
            <w:pPr>
              <w:spacing w:line="240" w:lineRule="auto"/>
              <w:rPr>
                <w:rFonts w:ascii="宋体" w:hAnsi="宋体" w:cs="宋体"/>
                <w:bCs/>
                <w:szCs w:val="21"/>
                <w:highlight w:val="none"/>
              </w:rPr>
            </w:pPr>
            <w:r>
              <w:rPr>
                <w:rFonts w:hint="eastAsia" w:ascii="宋体" w:hAnsi="宋体" w:cs="宋体"/>
                <w:bCs/>
                <w:szCs w:val="21"/>
                <w:highlight w:val="none"/>
              </w:rPr>
              <w:t>投标人或</w:t>
            </w:r>
            <w:r>
              <w:rPr>
                <w:highlight w:val="none"/>
              </w:rPr>
              <w:t>拟投</w:t>
            </w:r>
            <w:r>
              <w:rPr>
                <w:rFonts w:hint="eastAsia"/>
                <w:highlight w:val="none"/>
                <w:lang w:val="en-US" w:eastAsia="zh-CN"/>
              </w:rPr>
              <w:t>产品</w:t>
            </w:r>
            <w:r>
              <w:rPr>
                <w:rFonts w:hint="eastAsia"/>
                <w:highlight w:val="none"/>
              </w:rPr>
              <w:t>供货商</w:t>
            </w:r>
            <w:r>
              <w:rPr>
                <w:rFonts w:hint="eastAsia" w:ascii="宋体" w:hAnsi="宋体" w:cs="宋体"/>
                <w:bCs/>
                <w:szCs w:val="21"/>
                <w:highlight w:val="none"/>
              </w:rPr>
              <w:t>具有第三方认证机构的认证证书：ISO9001质量管理体系认证证书；ISO14001环境管理体系认证证书；OHSAS18001或ISO45001职业健康安全管理体系认证证书。</w:t>
            </w:r>
          </w:p>
          <w:p>
            <w:pPr>
              <w:spacing w:line="240" w:lineRule="auto"/>
              <w:rPr>
                <w:rFonts w:hint="eastAsia" w:ascii="宋体" w:hAnsi="宋体" w:eastAsia="宋体" w:cs="宋体"/>
                <w:bCs/>
                <w:kern w:val="2"/>
                <w:sz w:val="21"/>
                <w:szCs w:val="21"/>
                <w:highlight w:val="none"/>
                <w:lang w:val="en-US" w:eastAsia="zh-CN" w:bidi="ar-SA"/>
              </w:rPr>
            </w:pPr>
            <w:r>
              <w:rPr>
                <w:rFonts w:hint="eastAsia" w:ascii="宋体" w:hAnsi="宋体" w:cs="宋体"/>
                <w:bCs/>
                <w:szCs w:val="21"/>
                <w:highlight w:val="none"/>
              </w:rPr>
              <w:t>具有上述全部证书得满分6分，缺1项扣2分，扣完为止。</w:t>
            </w:r>
          </w:p>
        </w:tc>
        <w:tc>
          <w:tcPr>
            <w:tcW w:w="720" w:type="dxa"/>
            <w:vAlign w:val="center"/>
          </w:tcPr>
          <w:p>
            <w:pPr>
              <w:spacing w:line="240" w:lineRule="auto"/>
              <w:jc w:val="center"/>
              <w:rPr>
                <w:rFonts w:ascii="宋体" w:hAnsi="宋体" w:cs="宋体"/>
                <w:bCs/>
                <w:i/>
                <w:iCs/>
                <w:szCs w:val="21"/>
                <w:highlight w:val="none"/>
              </w:rPr>
            </w:pPr>
          </w:p>
        </w:tc>
        <w:tc>
          <w:tcPr>
            <w:tcW w:w="692" w:type="dxa"/>
            <w:vAlign w:val="center"/>
          </w:tcPr>
          <w:p>
            <w:pPr>
              <w:spacing w:line="240" w:lineRule="auto"/>
              <w:jc w:val="center"/>
              <w:rPr>
                <w:rFonts w:ascii="宋体" w:hAnsi="宋体" w:cs="宋体"/>
                <w:bCs/>
                <w:i/>
                <w:iCs/>
                <w:szCs w:val="21"/>
                <w:highlight w:val="none"/>
              </w:rPr>
            </w:pPr>
          </w:p>
        </w:tc>
        <w:tc>
          <w:tcPr>
            <w:tcW w:w="740" w:type="dxa"/>
            <w:vAlign w:val="center"/>
          </w:tcPr>
          <w:p>
            <w:pPr>
              <w:spacing w:line="240" w:lineRule="auto"/>
              <w:jc w:val="center"/>
              <w:rPr>
                <w:rFonts w:ascii="宋体" w:hAnsi="宋体" w:cs="宋体"/>
                <w:bCs/>
                <w:i/>
                <w:iCs/>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66" w:hRule="atLeast"/>
          <w:jc w:val="center"/>
        </w:trPr>
        <w:tc>
          <w:tcPr>
            <w:tcW w:w="556" w:type="dxa"/>
            <w:vAlign w:val="center"/>
          </w:tcPr>
          <w:p>
            <w:pPr>
              <w:spacing w:line="240" w:lineRule="auto"/>
              <w:jc w:val="center"/>
              <w:rPr>
                <w:rFonts w:ascii="宋体" w:hAnsi="宋体" w:eastAsia="宋体" w:cs="宋体"/>
                <w:b/>
                <w:bCs/>
                <w:kern w:val="2"/>
                <w:sz w:val="21"/>
                <w:szCs w:val="21"/>
                <w:highlight w:val="none"/>
                <w:lang w:val="en-US" w:eastAsia="zh-CN" w:bidi="ar-SA"/>
              </w:rPr>
            </w:pPr>
            <w:r>
              <w:rPr>
                <w:rFonts w:hint="eastAsia" w:ascii="宋体" w:hAnsi="宋体" w:cs="宋体"/>
                <w:b/>
                <w:bCs/>
                <w:szCs w:val="21"/>
                <w:highlight w:val="none"/>
              </w:rPr>
              <w:t>3</w:t>
            </w:r>
          </w:p>
        </w:tc>
        <w:tc>
          <w:tcPr>
            <w:tcW w:w="416" w:type="dxa"/>
            <w:vMerge w:val="continue"/>
            <w:vAlign w:val="center"/>
          </w:tcPr>
          <w:p>
            <w:pPr>
              <w:spacing w:line="240" w:lineRule="auto"/>
              <w:jc w:val="center"/>
              <w:rPr>
                <w:rFonts w:ascii="宋体" w:hAnsi="宋体" w:cs="宋体"/>
                <w:bCs/>
                <w:szCs w:val="21"/>
                <w:highlight w:val="none"/>
              </w:rPr>
            </w:pPr>
          </w:p>
        </w:tc>
        <w:tc>
          <w:tcPr>
            <w:tcW w:w="1900" w:type="dxa"/>
            <w:vAlign w:val="center"/>
          </w:tcPr>
          <w:p>
            <w:pPr>
              <w:spacing w:line="240" w:lineRule="auto"/>
              <w:jc w:val="center"/>
              <w:rPr>
                <w:rFonts w:ascii="宋体" w:hAnsi="宋体" w:cs="宋体"/>
                <w:bCs/>
                <w:szCs w:val="21"/>
                <w:highlight w:val="none"/>
              </w:rPr>
            </w:pPr>
            <w:r>
              <w:rPr>
                <w:rFonts w:hint="eastAsia" w:ascii="宋体" w:hAnsi="宋体" w:cs="宋体"/>
                <w:bCs/>
                <w:szCs w:val="21"/>
                <w:highlight w:val="none"/>
              </w:rPr>
              <w:t>企业认证及荣誉</w:t>
            </w:r>
          </w:p>
        </w:tc>
        <w:tc>
          <w:tcPr>
            <w:tcW w:w="542" w:type="dxa"/>
            <w:vAlign w:val="center"/>
          </w:tcPr>
          <w:p>
            <w:pPr>
              <w:spacing w:line="240" w:lineRule="auto"/>
              <w:jc w:val="center"/>
              <w:rPr>
                <w:rFonts w:ascii="宋体" w:hAnsi="宋体" w:cs="宋体"/>
                <w:bCs/>
                <w:szCs w:val="21"/>
                <w:highlight w:val="none"/>
              </w:rPr>
            </w:pPr>
            <w:r>
              <w:rPr>
                <w:rFonts w:hint="eastAsia" w:ascii="宋体" w:hAnsi="宋体" w:cs="宋体"/>
                <w:bCs/>
                <w:szCs w:val="21"/>
                <w:highlight w:val="none"/>
              </w:rPr>
              <w:t>12</w:t>
            </w:r>
          </w:p>
        </w:tc>
        <w:tc>
          <w:tcPr>
            <w:tcW w:w="9568" w:type="dxa"/>
            <w:vAlign w:val="center"/>
          </w:tcPr>
          <w:p>
            <w:pPr>
              <w:spacing w:line="240" w:lineRule="auto"/>
              <w:rPr>
                <w:rFonts w:ascii="宋体" w:hAnsi="宋体" w:cs="宋体"/>
                <w:bCs/>
                <w:szCs w:val="21"/>
                <w:highlight w:val="none"/>
              </w:rPr>
            </w:pPr>
            <w:r>
              <w:rPr>
                <w:highlight w:val="none"/>
              </w:rPr>
              <w:t>拟投</w:t>
            </w:r>
            <w:r>
              <w:rPr>
                <w:rFonts w:hint="eastAsia"/>
                <w:highlight w:val="none"/>
                <w:lang w:val="en-US" w:eastAsia="zh-CN"/>
              </w:rPr>
              <w:t>产品</w:t>
            </w:r>
            <w:r>
              <w:rPr>
                <w:rFonts w:hint="eastAsia"/>
                <w:highlight w:val="none"/>
              </w:rPr>
              <w:t>供货商</w:t>
            </w:r>
            <w:r>
              <w:rPr>
                <w:rFonts w:hint="eastAsia" w:ascii="宋体" w:hAnsi="宋体" w:cs="宋体"/>
                <w:bCs/>
                <w:szCs w:val="21"/>
                <w:highlight w:val="none"/>
              </w:rPr>
              <w:t>具有有效期内的企业认证及荣誉：1.绿色供应链五星评价证书；2.人类工效学认证；3.中国环境标志优秀企业奖；4.省认定工业设计中心；5.中国办公家具十大领军品牌；6.中国绿色办公家具十大品牌；7.中国企业采购办公家具十大品牌。</w:t>
            </w:r>
          </w:p>
          <w:p>
            <w:pPr>
              <w:spacing w:line="240" w:lineRule="auto"/>
              <w:rPr>
                <w:rFonts w:ascii="宋体" w:hAnsi="宋体" w:cs="宋体"/>
                <w:bCs/>
                <w:szCs w:val="21"/>
                <w:highlight w:val="none"/>
              </w:rPr>
            </w:pPr>
            <w:r>
              <w:rPr>
                <w:rFonts w:hint="eastAsia" w:ascii="宋体" w:hAnsi="宋体" w:cs="宋体"/>
                <w:bCs/>
                <w:szCs w:val="21"/>
                <w:highlight w:val="none"/>
              </w:rPr>
              <w:t>具有上述全部认证或荣誉的，得12分；每缺1项扣2分，扣完为止。</w:t>
            </w:r>
          </w:p>
        </w:tc>
        <w:tc>
          <w:tcPr>
            <w:tcW w:w="720" w:type="dxa"/>
            <w:vAlign w:val="center"/>
          </w:tcPr>
          <w:p>
            <w:pPr>
              <w:spacing w:line="240" w:lineRule="auto"/>
              <w:jc w:val="center"/>
              <w:rPr>
                <w:rFonts w:ascii="宋体" w:hAnsi="宋体" w:cs="宋体"/>
                <w:bCs/>
                <w:i/>
                <w:iCs/>
                <w:szCs w:val="21"/>
                <w:highlight w:val="none"/>
              </w:rPr>
            </w:pPr>
          </w:p>
        </w:tc>
        <w:tc>
          <w:tcPr>
            <w:tcW w:w="692" w:type="dxa"/>
            <w:vAlign w:val="center"/>
          </w:tcPr>
          <w:p>
            <w:pPr>
              <w:spacing w:line="240" w:lineRule="auto"/>
              <w:jc w:val="center"/>
              <w:rPr>
                <w:rFonts w:ascii="宋体" w:hAnsi="宋体" w:cs="宋体"/>
                <w:bCs/>
                <w:i/>
                <w:iCs/>
                <w:szCs w:val="21"/>
                <w:highlight w:val="none"/>
              </w:rPr>
            </w:pPr>
          </w:p>
        </w:tc>
        <w:tc>
          <w:tcPr>
            <w:tcW w:w="740" w:type="dxa"/>
            <w:vAlign w:val="center"/>
          </w:tcPr>
          <w:p>
            <w:pPr>
              <w:spacing w:line="240" w:lineRule="auto"/>
              <w:jc w:val="center"/>
              <w:rPr>
                <w:rFonts w:ascii="宋体" w:hAnsi="宋体" w:cs="宋体"/>
                <w:bCs/>
                <w:i/>
                <w:iCs/>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556" w:type="dxa"/>
            <w:vAlign w:val="center"/>
          </w:tcPr>
          <w:p>
            <w:pPr>
              <w:spacing w:line="240" w:lineRule="auto"/>
              <w:jc w:val="center"/>
              <w:rPr>
                <w:rFonts w:ascii="宋体" w:hAnsi="宋体" w:cs="宋体"/>
                <w:b/>
                <w:bCs/>
                <w:szCs w:val="21"/>
                <w:highlight w:val="none"/>
              </w:rPr>
            </w:pPr>
            <w:r>
              <w:rPr>
                <w:rFonts w:hint="eastAsia" w:ascii="宋体" w:hAnsi="宋体" w:cs="宋体"/>
                <w:b/>
                <w:bCs/>
                <w:szCs w:val="21"/>
                <w:highlight w:val="none"/>
              </w:rPr>
              <w:t>4</w:t>
            </w:r>
          </w:p>
        </w:tc>
        <w:tc>
          <w:tcPr>
            <w:tcW w:w="416" w:type="dxa"/>
            <w:vMerge w:val="continue"/>
            <w:vAlign w:val="center"/>
          </w:tcPr>
          <w:p>
            <w:pPr>
              <w:widowControl/>
              <w:spacing w:line="240" w:lineRule="auto"/>
              <w:jc w:val="center"/>
              <w:textAlignment w:val="center"/>
              <w:rPr>
                <w:rFonts w:ascii="宋体" w:hAnsi="宋体" w:cs="宋体"/>
                <w:bCs/>
                <w:szCs w:val="21"/>
                <w:highlight w:val="none"/>
              </w:rPr>
            </w:pPr>
          </w:p>
        </w:tc>
        <w:tc>
          <w:tcPr>
            <w:tcW w:w="1900" w:type="dxa"/>
            <w:vAlign w:val="center"/>
          </w:tcPr>
          <w:p>
            <w:pPr>
              <w:widowControl/>
              <w:spacing w:line="240" w:lineRule="auto"/>
              <w:jc w:val="center"/>
              <w:textAlignment w:val="center"/>
              <w:rPr>
                <w:rFonts w:ascii="宋体" w:hAnsi="宋体" w:cs="宋体"/>
                <w:bCs/>
                <w:szCs w:val="21"/>
                <w:highlight w:val="none"/>
              </w:rPr>
            </w:pPr>
            <w:r>
              <w:rPr>
                <w:rFonts w:hint="eastAsia" w:ascii="宋体" w:hAnsi="宋体" w:cs="宋体"/>
                <w:color w:val="000000"/>
                <w:kern w:val="0"/>
                <w:szCs w:val="21"/>
                <w:highlight w:val="none"/>
                <w:lang w:bidi="ar"/>
              </w:rPr>
              <w:t>环保产品认证</w:t>
            </w:r>
          </w:p>
        </w:tc>
        <w:tc>
          <w:tcPr>
            <w:tcW w:w="542" w:type="dxa"/>
            <w:vAlign w:val="center"/>
          </w:tcPr>
          <w:p>
            <w:pPr>
              <w:widowControl/>
              <w:spacing w:line="240" w:lineRule="auto"/>
              <w:jc w:val="center"/>
              <w:textAlignment w:val="center"/>
              <w:rPr>
                <w:rFonts w:ascii="宋体" w:hAnsi="宋体" w:cs="宋体"/>
                <w:color w:val="000000"/>
                <w:kern w:val="0"/>
                <w:szCs w:val="21"/>
                <w:highlight w:val="none"/>
                <w:lang w:bidi="ar"/>
              </w:rPr>
            </w:pPr>
            <w:r>
              <w:rPr>
                <w:rFonts w:hint="eastAsia" w:ascii="宋体" w:hAnsi="宋体" w:cs="宋体"/>
                <w:color w:val="000000"/>
                <w:kern w:val="0"/>
                <w:szCs w:val="21"/>
                <w:highlight w:val="none"/>
                <w:lang w:bidi="ar"/>
              </w:rPr>
              <w:t>4</w:t>
            </w:r>
          </w:p>
        </w:tc>
        <w:tc>
          <w:tcPr>
            <w:tcW w:w="9568" w:type="dxa"/>
            <w:vAlign w:val="center"/>
          </w:tcPr>
          <w:p>
            <w:pPr>
              <w:spacing w:line="240" w:lineRule="auto"/>
              <w:rPr>
                <w:rFonts w:ascii="宋体" w:hAnsi="宋体" w:cs="宋体"/>
                <w:bCs/>
                <w:szCs w:val="21"/>
                <w:highlight w:val="none"/>
              </w:rPr>
            </w:pPr>
            <w:r>
              <w:rPr>
                <w:highlight w:val="none"/>
              </w:rPr>
              <w:t>拟投</w:t>
            </w:r>
            <w:r>
              <w:rPr>
                <w:rFonts w:hint="eastAsia"/>
                <w:highlight w:val="none"/>
                <w:lang w:val="en-US" w:eastAsia="zh-CN"/>
              </w:rPr>
              <w:t>产品</w:t>
            </w:r>
            <w:r>
              <w:rPr>
                <w:rFonts w:hint="eastAsia"/>
                <w:highlight w:val="none"/>
              </w:rPr>
              <w:t>供货商</w:t>
            </w:r>
            <w:r>
              <w:rPr>
                <w:rFonts w:hint="eastAsia" w:ascii="宋体" w:hAnsi="宋体" w:cs="宋体"/>
                <w:bCs/>
                <w:szCs w:val="21"/>
                <w:highlight w:val="none"/>
              </w:rPr>
              <w:t>具有有效的中国环保产品认证（CQC认证）证书的，证书认证范围需包含有木质家具、五金家具和软体家具内容，得4分；不符合或无提供的得0分。</w:t>
            </w:r>
          </w:p>
        </w:tc>
        <w:tc>
          <w:tcPr>
            <w:tcW w:w="720" w:type="dxa"/>
            <w:vAlign w:val="center"/>
          </w:tcPr>
          <w:p>
            <w:pPr>
              <w:spacing w:line="240" w:lineRule="auto"/>
              <w:jc w:val="center"/>
              <w:rPr>
                <w:rFonts w:ascii="宋体" w:hAnsi="宋体" w:cs="宋体"/>
                <w:bCs/>
                <w:i/>
                <w:iCs/>
                <w:szCs w:val="21"/>
                <w:highlight w:val="none"/>
              </w:rPr>
            </w:pPr>
          </w:p>
        </w:tc>
        <w:tc>
          <w:tcPr>
            <w:tcW w:w="692" w:type="dxa"/>
            <w:vAlign w:val="center"/>
          </w:tcPr>
          <w:p>
            <w:pPr>
              <w:spacing w:line="240" w:lineRule="auto"/>
              <w:jc w:val="center"/>
              <w:rPr>
                <w:rFonts w:ascii="宋体" w:hAnsi="宋体" w:cs="宋体"/>
                <w:bCs/>
                <w:i/>
                <w:iCs/>
                <w:szCs w:val="21"/>
                <w:highlight w:val="none"/>
              </w:rPr>
            </w:pPr>
          </w:p>
        </w:tc>
        <w:tc>
          <w:tcPr>
            <w:tcW w:w="740" w:type="dxa"/>
            <w:vAlign w:val="center"/>
          </w:tcPr>
          <w:p>
            <w:pPr>
              <w:spacing w:line="240" w:lineRule="auto"/>
              <w:jc w:val="center"/>
              <w:rPr>
                <w:rFonts w:ascii="宋体" w:hAnsi="宋体" w:cs="宋体"/>
                <w:bCs/>
                <w:i/>
                <w:iCs/>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556" w:type="dxa"/>
            <w:vAlign w:val="center"/>
          </w:tcPr>
          <w:p>
            <w:pPr>
              <w:spacing w:line="240" w:lineRule="auto"/>
              <w:jc w:val="center"/>
              <w:rPr>
                <w:rFonts w:ascii="宋体" w:hAnsi="宋体" w:cs="宋体"/>
                <w:b/>
                <w:bCs/>
                <w:szCs w:val="21"/>
                <w:highlight w:val="none"/>
              </w:rPr>
            </w:pPr>
            <w:r>
              <w:rPr>
                <w:rFonts w:hint="eastAsia" w:ascii="宋体" w:hAnsi="宋体" w:cs="宋体"/>
                <w:b/>
                <w:bCs/>
                <w:szCs w:val="21"/>
                <w:highlight w:val="none"/>
              </w:rPr>
              <w:t>5</w:t>
            </w:r>
          </w:p>
        </w:tc>
        <w:tc>
          <w:tcPr>
            <w:tcW w:w="416" w:type="dxa"/>
            <w:vMerge w:val="continue"/>
            <w:vAlign w:val="center"/>
          </w:tcPr>
          <w:p>
            <w:pPr>
              <w:widowControl/>
              <w:spacing w:line="240" w:lineRule="auto"/>
              <w:jc w:val="center"/>
              <w:textAlignment w:val="center"/>
              <w:rPr>
                <w:rFonts w:ascii="宋体" w:hAnsi="宋体" w:cs="宋体"/>
                <w:bCs/>
                <w:szCs w:val="21"/>
                <w:highlight w:val="none"/>
              </w:rPr>
            </w:pPr>
          </w:p>
        </w:tc>
        <w:tc>
          <w:tcPr>
            <w:tcW w:w="1900" w:type="dxa"/>
            <w:vAlign w:val="center"/>
          </w:tcPr>
          <w:p>
            <w:pPr>
              <w:widowControl/>
              <w:spacing w:line="240" w:lineRule="auto"/>
              <w:jc w:val="center"/>
              <w:textAlignment w:val="center"/>
              <w:rPr>
                <w:rFonts w:ascii="宋体" w:hAnsi="宋体" w:cs="宋体"/>
                <w:bCs/>
                <w:szCs w:val="21"/>
                <w:highlight w:val="none"/>
              </w:rPr>
            </w:pPr>
            <w:r>
              <w:rPr>
                <w:rFonts w:hint="eastAsia" w:ascii="宋体" w:hAnsi="宋体" w:cs="宋体"/>
                <w:color w:val="000000"/>
                <w:kern w:val="0"/>
                <w:szCs w:val="21"/>
                <w:highlight w:val="none"/>
                <w:lang w:bidi="ar"/>
              </w:rPr>
              <w:t>环境标志产品</w:t>
            </w:r>
          </w:p>
        </w:tc>
        <w:tc>
          <w:tcPr>
            <w:tcW w:w="542" w:type="dxa"/>
            <w:vAlign w:val="center"/>
          </w:tcPr>
          <w:p>
            <w:pPr>
              <w:widowControl/>
              <w:spacing w:line="240" w:lineRule="auto"/>
              <w:jc w:val="center"/>
              <w:textAlignment w:val="center"/>
              <w:rPr>
                <w:rFonts w:ascii="宋体" w:hAnsi="宋体" w:cs="宋体"/>
                <w:color w:val="000000"/>
                <w:kern w:val="0"/>
                <w:szCs w:val="21"/>
                <w:highlight w:val="none"/>
                <w:lang w:bidi="ar"/>
              </w:rPr>
            </w:pPr>
            <w:r>
              <w:rPr>
                <w:rFonts w:hint="eastAsia" w:ascii="宋体" w:hAnsi="宋体" w:cs="宋体"/>
                <w:color w:val="000000"/>
                <w:kern w:val="0"/>
                <w:szCs w:val="21"/>
                <w:highlight w:val="none"/>
                <w:lang w:bidi="ar"/>
              </w:rPr>
              <w:t>4</w:t>
            </w:r>
          </w:p>
        </w:tc>
        <w:tc>
          <w:tcPr>
            <w:tcW w:w="9568" w:type="dxa"/>
            <w:vAlign w:val="center"/>
          </w:tcPr>
          <w:p>
            <w:pPr>
              <w:spacing w:line="240" w:lineRule="auto"/>
              <w:rPr>
                <w:rFonts w:ascii="宋体" w:hAnsi="宋体" w:cs="宋体"/>
                <w:bCs/>
                <w:szCs w:val="21"/>
                <w:highlight w:val="none"/>
              </w:rPr>
            </w:pPr>
            <w:r>
              <w:rPr>
                <w:highlight w:val="none"/>
              </w:rPr>
              <w:t>拟投</w:t>
            </w:r>
            <w:r>
              <w:rPr>
                <w:rFonts w:hint="eastAsia"/>
                <w:highlight w:val="none"/>
                <w:lang w:val="en-US" w:eastAsia="zh-CN"/>
              </w:rPr>
              <w:t>产品</w:t>
            </w:r>
            <w:r>
              <w:rPr>
                <w:rFonts w:hint="eastAsia"/>
                <w:highlight w:val="none"/>
              </w:rPr>
              <w:t>供货商</w:t>
            </w:r>
            <w:r>
              <w:rPr>
                <w:rFonts w:hint="eastAsia" w:ascii="宋体" w:hAnsi="宋体" w:cs="宋体"/>
                <w:bCs/>
                <w:szCs w:val="21"/>
                <w:highlight w:val="none"/>
              </w:rPr>
              <w:t>所投产品符合中华人民共和国环境保护部颁布的中国环境标志产品认证证书，认证产品范围需包含有木质家具、五金家具和软体家具内容，得4分；不符合或无的得0分。</w:t>
            </w:r>
          </w:p>
        </w:tc>
        <w:tc>
          <w:tcPr>
            <w:tcW w:w="720" w:type="dxa"/>
            <w:vAlign w:val="center"/>
          </w:tcPr>
          <w:p>
            <w:pPr>
              <w:spacing w:line="240" w:lineRule="auto"/>
              <w:jc w:val="center"/>
              <w:rPr>
                <w:rFonts w:ascii="宋体" w:hAnsi="宋体" w:cs="宋体"/>
                <w:bCs/>
                <w:i/>
                <w:iCs/>
                <w:szCs w:val="21"/>
                <w:highlight w:val="none"/>
              </w:rPr>
            </w:pPr>
          </w:p>
        </w:tc>
        <w:tc>
          <w:tcPr>
            <w:tcW w:w="692" w:type="dxa"/>
            <w:vAlign w:val="center"/>
          </w:tcPr>
          <w:p>
            <w:pPr>
              <w:spacing w:line="240" w:lineRule="auto"/>
              <w:jc w:val="center"/>
              <w:rPr>
                <w:rFonts w:ascii="宋体" w:hAnsi="宋体" w:cs="宋体"/>
                <w:bCs/>
                <w:i/>
                <w:iCs/>
                <w:szCs w:val="21"/>
                <w:highlight w:val="none"/>
              </w:rPr>
            </w:pPr>
          </w:p>
        </w:tc>
        <w:tc>
          <w:tcPr>
            <w:tcW w:w="740" w:type="dxa"/>
            <w:vAlign w:val="center"/>
          </w:tcPr>
          <w:p>
            <w:pPr>
              <w:spacing w:line="240" w:lineRule="auto"/>
              <w:jc w:val="center"/>
              <w:rPr>
                <w:rFonts w:ascii="宋体" w:hAnsi="宋体" w:cs="宋体"/>
                <w:bCs/>
                <w:i/>
                <w:iCs/>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56" w:type="dxa"/>
            <w:vAlign w:val="center"/>
          </w:tcPr>
          <w:p>
            <w:pPr>
              <w:spacing w:line="240" w:lineRule="auto"/>
              <w:jc w:val="center"/>
              <w:rPr>
                <w:rFonts w:ascii="宋体" w:hAnsi="宋体" w:cs="宋体"/>
                <w:b/>
                <w:bCs/>
                <w:szCs w:val="21"/>
                <w:highlight w:val="none"/>
              </w:rPr>
            </w:pPr>
            <w:r>
              <w:rPr>
                <w:rFonts w:hint="eastAsia" w:ascii="宋体" w:hAnsi="宋体" w:cs="宋体"/>
                <w:b/>
                <w:bCs/>
                <w:szCs w:val="21"/>
                <w:highlight w:val="none"/>
              </w:rPr>
              <w:t>6</w:t>
            </w:r>
          </w:p>
        </w:tc>
        <w:tc>
          <w:tcPr>
            <w:tcW w:w="416" w:type="dxa"/>
            <w:vMerge w:val="continue"/>
            <w:vAlign w:val="center"/>
          </w:tcPr>
          <w:p>
            <w:pPr>
              <w:widowControl/>
              <w:spacing w:line="240" w:lineRule="auto"/>
              <w:jc w:val="center"/>
              <w:textAlignment w:val="center"/>
              <w:rPr>
                <w:rFonts w:ascii="宋体" w:hAnsi="宋体" w:cs="宋体"/>
                <w:color w:val="000000"/>
                <w:szCs w:val="21"/>
                <w:highlight w:val="none"/>
              </w:rPr>
            </w:pPr>
          </w:p>
        </w:tc>
        <w:tc>
          <w:tcPr>
            <w:tcW w:w="1900" w:type="dxa"/>
            <w:vAlign w:val="center"/>
          </w:tcPr>
          <w:p>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greengurad系列认证</w:t>
            </w:r>
          </w:p>
        </w:tc>
        <w:tc>
          <w:tcPr>
            <w:tcW w:w="542" w:type="dxa"/>
            <w:vAlign w:val="center"/>
          </w:tcPr>
          <w:p>
            <w:pPr>
              <w:widowControl/>
              <w:spacing w:line="240" w:lineRule="auto"/>
              <w:jc w:val="center"/>
              <w:textAlignment w:val="center"/>
              <w:rPr>
                <w:rFonts w:ascii="宋体" w:hAnsi="宋体" w:cs="宋体"/>
                <w:color w:val="000000"/>
                <w:kern w:val="0"/>
                <w:szCs w:val="21"/>
                <w:highlight w:val="none"/>
                <w:lang w:bidi="ar"/>
              </w:rPr>
            </w:pPr>
            <w:r>
              <w:rPr>
                <w:rFonts w:hint="eastAsia" w:ascii="宋体" w:hAnsi="宋体" w:cs="宋体"/>
                <w:color w:val="000000"/>
                <w:kern w:val="0"/>
                <w:szCs w:val="21"/>
                <w:highlight w:val="none"/>
                <w:lang w:bidi="ar"/>
              </w:rPr>
              <w:t>4</w:t>
            </w:r>
          </w:p>
        </w:tc>
        <w:tc>
          <w:tcPr>
            <w:tcW w:w="9568" w:type="dxa"/>
            <w:vAlign w:val="center"/>
          </w:tcPr>
          <w:p>
            <w:pPr>
              <w:widowControl/>
              <w:spacing w:line="240" w:lineRule="auto"/>
              <w:jc w:val="left"/>
              <w:textAlignment w:val="center"/>
              <w:rPr>
                <w:rFonts w:ascii="宋体" w:hAnsi="宋体" w:cs="宋体"/>
                <w:color w:val="000000"/>
                <w:szCs w:val="21"/>
                <w:highlight w:val="none"/>
              </w:rPr>
            </w:pPr>
            <w:r>
              <w:rPr>
                <w:highlight w:val="none"/>
              </w:rPr>
              <w:t>拟投</w:t>
            </w:r>
            <w:r>
              <w:rPr>
                <w:rFonts w:hint="eastAsia"/>
                <w:highlight w:val="none"/>
                <w:lang w:val="en-US" w:eastAsia="zh-CN"/>
              </w:rPr>
              <w:t>产品</w:t>
            </w:r>
            <w:r>
              <w:rPr>
                <w:rFonts w:hint="eastAsia"/>
                <w:highlight w:val="none"/>
              </w:rPr>
              <w:t>供货商</w:t>
            </w:r>
            <w:r>
              <w:rPr>
                <w:rFonts w:hint="eastAsia" w:ascii="宋体" w:hAnsi="宋体" w:cs="宋体"/>
                <w:color w:val="000000"/>
                <w:kern w:val="0"/>
                <w:szCs w:val="21"/>
                <w:highlight w:val="none"/>
                <w:lang w:bidi="ar"/>
              </w:rPr>
              <w:t>具有greengurad全系列认证的，得4分；未获得greengurad全系列认证或无提供的，得0分。</w:t>
            </w:r>
          </w:p>
        </w:tc>
        <w:tc>
          <w:tcPr>
            <w:tcW w:w="720" w:type="dxa"/>
            <w:vAlign w:val="center"/>
          </w:tcPr>
          <w:p>
            <w:pPr>
              <w:spacing w:line="240" w:lineRule="auto"/>
              <w:jc w:val="center"/>
              <w:rPr>
                <w:rFonts w:ascii="宋体" w:hAnsi="宋体" w:cs="宋体"/>
                <w:bCs/>
                <w:szCs w:val="21"/>
                <w:highlight w:val="none"/>
              </w:rPr>
            </w:pPr>
          </w:p>
        </w:tc>
        <w:tc>
          <w:tcPr>
            <w:tcW w:w="692" w:type="dxa"/>
            <w:vAlign w:val="center"/>
          </w:tcPr>
          <w:p>
            <w:pPr>
              <w:spacing w:line="240" w:lineRule="auto"/>
              <w:jc w:val="center"/>
              <w:rPr>
                <w:rFonts w:ascii="宋体" w:hAnsi="宋体" w:cs="宋体"/>
                <w:bCs/>
                <w:szCs w:val="21"/>
                <w:highlight w:val="none"/>
              </w:rPr>
            </w:pPr>
          </w:p>
        </w:tc>
        <w:tc>
          <w:tcPr>
            <w:tcW w:w="740" w:type="dxa"/>
            <w:vAlign w:val="center"/>
          </w:tcPr>
          <w:p>
            <w:pPr>
              <w:spacing w:line="240" w:lineRule="auto"/>
              <w:jc w:val="center"/>
              <w:rPr>
                <w:rFonts w:ascii="宋体" w:hAnsi="宋体" w:cs="宋体"/>
                <w:bCs/>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6" w:type="dxa"/>
            <w:vAlign w:val="center"/>
          </w:tcPr>
          <w:p>
            <w:pPr>
              <w:spacing w:line="240" w:lineRule="auto"/>
              <w:jc w:val="center"/>
              <w:rPr>
                <w:rFonts w:ascii="宋体" w:hAnsi="宋体" w:cs="宋体"/>
                <w:b/>
                <w:bCs/>
                <w:szCs w:val="21"/>
                <w:highlight w:val="none"/>
              </w:rPr>
            </w:pPr>
            <w:r>
              <w:rPr>
                <w:rFonts w:hint="eastAsia" w:ascii="宋体" w:hAnsi="宋体" w:cs="宋体"/>
                <w:b/>
                <w:bCs/>
                <w:szCs w:val="21"/>
                <w:highlight w:val="none"/>
              </w:rPr>
              <w:t>7</w:t>
            </w:r>
          </w:p>
        </w:tc>
        <w:tc>
          <w:tcPr>
            <w:tcW w:w="416" w:type="dxa"/>
            <w:vMerge w:val="continue"/>
            <w:vAlign w:val="center"/>
          </w:tcPr>
          <w:p>
            <w:pPr>
              <w:widowControl/>
              <w:spacing w:line="240" w:lineRule="auto"/>
              <w:jc w:val="center"/>
              <w:textAlignment w:val="center"/>
              <w:rPr>
                <w:rFonts w:ascii="宋体" w:hAnsi="宋体" w:cs="宋体"/>
                <w:color w:val="000000"/>
                <w:szCs w:val="21"/>
                <w:highlight w:val="none"/>
              </w:rPr>
            </w:pPr>
          </w:p>
        </w:tc>
        <w:tc>
          <w:tcPr>
            <w:tcW w:w="1900" w:type="dxa"/>
            <w:vAlign w:val="center"/>
          </w:tcPr>
          <w:p>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家具定制服务认证</w:t>
            </w:r>
          </w:p>
        </w:tc>
        <w:tc>
          <w:tcPr>
            <w:tcW w:w="542" w:type="dxa"/>
            <w:vAlign w:val="center"/>
          </w:tcPr>
          <w:p>
            <w:pPr>
              <w:widowControl/>
              <w:spacing w:line="240" w:lineRule="auto"/>
              <w:jc w:val="center"/>
              <w:textAlignment w:val="center"/>
              <w:rPr>
                <w:rFonts w:ascii="宋体" w:hAnsi="宋体" w:cs="宋体"/>
                <w:color w:val="000000"/>
                <w:kern w:val="0"/>
                <w:szCs w:val="21"/>
                <w:highlight w:val="none"/>
                <w:lang w:bidi="ar"/>
              </w:rPr>
            </w:pPr>
            <w:r>
              <w:rPr>
                <w:rFonts w:hint="eastAsia" w:ascii="宋体" w:hAnsi="宋体" w:cs="宋体"/>
                <w:color w:val="000000"/>
                <w:kern w:val="0"/>
                <w:szCs w:val="21"/>
                <w:highlight w:val="none"/>
                <w:lang w:bidi="ar"/>
              </w:rPr>
              <w:t>4</w:t>
            </w:r>
          </w:p>
        </w:tc>
        <w:tc>
          <w:tcPr>
            <w:tcW w:w="9568" w:type="dxa"/>
            <w:vAlign w:val="center"/>
          </w:tcPr>
          <w:p>
            <w:pPr>
              <w:widowControl/>
              <w:spacing w:line="240" w:lineRule="auto"/>
              <w:jc w:val="left"/>
              <w:textAlignment w:val="center"/>
              <w:rPr>
                <w:rFonts w:ascii="宋体" w:hAnsi="宋体" w:cs="宋体"/>
                <w:color w:val="000000"/>
                <w:szCs w:val="21"/>
                <w:highlight w:val="none"/>
              </w:rPr>
            </w:pPr>
            <w:r>
              <w:rPr>
                <w:highlight w:val="none"/>
              </w:rPr>
              <w:t>拟投</w:t>
            </w:r>
            <w:r>
              <w:rPr>
                <w:rFonts w:hint="eastAsia"/>
                <w:highlight w:val="none"/>
                <w:lang w:val="en-US" w:eastAsia="zh-CN"/>
              </w:rPr>
              <w:t>产品</w:t>
            </w:r>
            <w:r>
              <w:rPr>
                <w:rFonts w:hint="eastAsia"/>
                <w:highlight w:val="none"/>
              </w:rPr>
              <w:t>供货商</w:t>
            </w:r>
            <w:r>
              <w:rPr>
                <w:rFonts w:hint="eastAsia" w:ascii="宋体" w:hAnsi="宋体" w:cs="宋体"/>
                <w:color w:val="000000"/>
                <w:kern w:val="0"/>
                <w:szCs w:val="21"/>
                <w:highlight w:val="none"/>
                <w:lang w:bidi="ar"/>
              </w:rPr>
              <w:t>具有五星级家具定制服务认证证书，得4分；无提供不得分。</w:t>
            </w:r>
          </w:p>
        </w:tc>
        <w:tc>
          <w:tcPr>
            <w:tcW w:w="720" w:type="dxa"/>
            <w:vAlign w:val="center"/>
          </w:tcPr>
          <w:p>
            <w:pPr>
              <w:spacing w:line="240" w:lineRule="auto"/>
              <w:jc w:val="center"/>
              <w:rPr>
                <w:rFonts w:ascii="宋体" w:hAnsi="宋体" w:cs="宋体"/>
                <w:bCs/>
                <w:szCs w:val="21"/>
                <w:highlight w:val="none"/>
              </w:rPr>
            </w:pPr>
          </w:p>
        </w:tc>
        <w:tc>
          <w:tcPr>
            <w:tcW w:w="692" w:type="dxa"/>
            <w:vAlign w:val="center"/>
          </w:tcPr>
          <w:p>
            <w:pPr>
              <w:spacing w:line="240" w:lineRule="auto"/>
              <w:jc w:val="center"/>
              <w:rPr>
                <w:rFonts w:ascii="宋体" w:hAnsi="宋体" w:cs="宋体"/>
                <w:bCs/>
                <w:szCs w:val="21"/>
                <w:highlight w:val="none"/>
              </w:rPr>
            </w:pPr>
          </w:p>
        </w:tc>
        <w:tc>
          <w:tcPr>
            <w:tcW w:w="740" w:type="dxa"/>
            <w:vAlign w:val="center"/>
          </w:tcPr>
          <w:p>
            <w:pPr>
              <w:spacing w:line="240" w:lineRule="auto"/>
              <w:jc w:val="center"/>
              <w:rPr>
                <w:rFonts w:ascii="宋体" w:hAnsi="宋体" w:cs="宋体"/>
                <w:bCs/>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556" w:type="dxa"/>
            <w:vAlign w:val="center"/>
          </w:tcPr>
          <w:p>
            <w:pPr>
              <w:spacing w:line="240" w:lineRule="auto"/>
              <w:jc w:val="center"/>
              <w:rPr>
                <w:rFonts w:ascii="宋体" w:hAnsi="宋体" w:cs="宋体"/>
                <w:b/>
                <w:bCs/>
                <w:szCs w:val="21"/>
                <w:highlight w:val="none"/>
              </w:rPr>
            </w:pPr>
            <w:r>
              <w:rPr>
                <w:rFonts w:hint="eastAsia" w:ascii="宋体" w:hAnsi="宋体" w:cs="宋体"/>
                <w:b/>
                <w:bCs/>
                <w:szCs w:val="21"/>
                <w:highlight w:val="none"/>
              </w:rPr>
              <w:t>8</w:t>
            </w:r>
          </w:p>
        </w:tc>
        <w:tc>
          <w:tcPr>
            <w:tcW w:w="416" w:type="dxa"/>
            <w:vMerge w:val="continue"/>
            <w:vAlign w:val="center"/>
          </w:tcPr>
          <w:p>
            <w:pPr>
              <w:widowControl/>
              <w:spacing w:line="240" w:lineRule="auto"/>
              <w:jc w:val="center"/>
              <w:textAlignment w:val="center"/>
              <w:rPr>
                <w:rFonts w:ascii="宋体" w:hAnsi="宋体" w:cs="宋体"/>
                <w:bCs/>
                <w:szCs w:val="21"/>
                <w:highlight w:val="none"/>
              </w:rPr>
            </w:pPr>
          </w:p>
        </w:tc>
        <w:tc>
          <w:tcPr>
            <w:tcW w:w="1900" w:type="dxa"/>
            <w:vAlign w:val="center"/>
          </w:tcPr>
          <w:p>
            <w:pPr>
              <w:widowControl/>
              <w:spacing w:line="240" w:lineRule="auto"/>
              <w:jc w:val="center"/>
              <w:textAlignment w:val="center"/>
              <w:rPr>
                <w:rFonts w:ascii="宋体" w:hAnsi="宋体" w:cs="宋体"/>
                <w:bCs/>
                <w:szCs w:val="21"/>
                <w:highlight w:val="none"/>
              </w:rPr>
            </w:pPr>
            <w:r>
              <w:rPr>
                <w:rFonts w:hint="eastAsia" w:ascii="宋体" w:hAnsi="宋体" w:cs="宋体"/>
                <w:color w:val="000000"/>
                <w:kern w:val="0"/>
                <w:szCs w:val="21"/>
                <w:highlight w:val="none"/>
                <w:lang w:bidi="ar"/>
              </w:rPr>
              <w:t>生产设备</w:t>
            </w:r>
          </w:p>
        </w:tc>
        <w:tc>
          <w:tcPr>
            <w:tcW w:w="542" w:type="dxa"/>
            <w:vAlign w:val="center"/>
          </w:tcPr>
          <w:p>
            <w:pPr>
              <w:widowControl/>
              <w:spacing w:line="240" w:lineRule="auto"/>
              <w:jc w:val="center"/>
              <w:textAlignment w:val="center"/>
              <w:rPr>
                <w:rFonts w:ascii="宋体" w:hAnsi="宋体" w:cs="宋体"/>
                <w:color w:val="000000"/>
                <w:kern w:val="0"/>
                <w:szCs w:val="21"/>
                <w:highlight w:val="none"/>
                <w:lang w:bidi="ar"/>
              </w:rPr>
            </w:pPr>
            <w:r>
              <w:rPr>
                <w:rFonts w:hint="eastAsia" w:ascii="宋体" w:hAnsi="宋体" w:cs="宋体"/>
                <w:color w:val="000000"/>
                <w:kern w:val="0"/>
                <w:szCs w:val="21"/>
                <w:highlight w:val="none"/>
                <w:lang w:bidi="ar"/>
              </w:rPr>
              <w:t>6</w:t>
            </w:r>
          </w:p>
        </w:tc>
        <w:tc>
          <w:tcPr>
            <w:tcW w:w="9568" w:type="dxa"/>
            <w:vAlign w:val="center"/>
          </w:tcPr>
          <w:p>
            <w:pPr>
              <w:widowControl/>
              <w:spacing w:line="240" w:lineRule="auto"/>
              <w:jc w:val="left"/>
              <w:textAlignment w:val="center"/>
              <w:rPr>
                <w:rFonts w:ascii="宋体" w:hAnsi="宋体" w:cs="宋体"/>
                <w:bCs/>
                <w:szCs w:val="21"/>
                <w:highlight w:val="none"/>
              </w:rPr>
            </w:pPr>
            <w:r>
              <w:rPr>
                <w:highlight w:val="none"/>
              </w:rPr>
              <w:t>拟投</w:t>
            </w:r>
            <w:r>
              <w:rPr>
                <w:rFonts w:hint="eastAsia"/>
                <w:highlight w:val="none"/>
                <w:lang w:val="en-US" w:eastAsia="zh-CN"/>
              </w:rPr>
              <w:t>产品</w:t>
            </w:r>
            <w:r>
              <w:rPr>
                <w:rFonts w:hint="eastAsia"/>
                <w:highlight w:val="none"/>
              </w:rPr>
              <w:t>供货商</w:t>
            </w:r>
            <w:r>
              <w:rPr>
                <w:rFonts w:hint="eastAsia" w:ascii="宋体" w:hAnsi="宋体" w:cs="宋体"/>
                <w:color w:val="000000"/>
                <w:kern w:val="0"/>
                <w:szCs w:val="21"/>
                <w:highlight w:val="none"/>
                <w:lang w:bidi="ar"/>
              </w:rPr>
              <w:t>拟投</w:t>
            </w:r>
            <w:r>
              <w:rPr>
                <w:rFonts w:hint="eastAsia" w:ascii="宋体" w:hAnsi="宋体" w:cs="宋体"/>
                <w:bCs/>
                <w:szCs w:val="21"/>
                <w:highlight w:val="none"/>
              </w:rPr>
              <w:t>产品制造商</w:t>
            </w:r>
            <w:r>
              <w:rPr>
                <w:rFonts w:hint="eastAsia" w:ascii="宋体" w:hAnsi="宋体" w:cs="宋体"/>
                <w:color w:val="000000"/>
                <w:kern w:val="0"/>
                <w:szCs w:val="21"/>
                <w:highlight w:val="none"/>
                <w:lang w:bidi="ar"/>
              </w:rPr>
              <w:t>具有以下生产设备：全自动后上料电子开料锯、多轴六排钻机、数控点对点钻孔加工中心、计算机数控加工中心、全自动激光直线封边机、冷压机、UV滚涂线、钢制设备涂装生产线、数控冲床、数控激光切割机、数控折弯机、中央除尘设备。具有上述全部设备种类的，得6分；每缺1项扣1分，扣完为止。</w:t>
            </w:r>
          </w:p>
        </w:tc>
        <w:tc>
          <w:tcPr>
            <w:tcW w:w="720" w:type="dxa"/>
            <w:vAlign w:val="center"/>
          </w:tcPr>
          <w:p>
            <w:pPr>
              <w:spacing w:line="240" w:lineRule="auto"/>
              <w:jc w:val="center"/>
              <w:rPr>
                <w:rFonts w:ascii="宋体" w:hAnsi="宋体" w:cs="宋体"/>
                <w:bCs/>
                <w:szCs w:val="21"/>
                <w:highlight w:val="none"/>
              </w:rPr>
            </w:pPr>
          </w:p>
        </w:tc>
        <w:tc>
          <w:tcPr>
            <w:tcW w:w="692" w:type="dxa"/>
            <w:vAlign w:val="center"/>
          </w:tcPr>
          <w:p>
            <w:pPr>
              <w:spacing w:line="240" w:lineRule="auto"/>
              <w:jc w:val="center"/>
              <w:rPr>
                <w:rFonts w:ascii="宋体" w:hAnsi="宋体" w:cs="宋体"/>
                <w:bCs/>
                <w:szCs w:val="21"/>
                <w:highlight w:val="none"/>
              </w:rPr>
            </w:pPr>
          </w:p>
        </w:tc>
        <w:tc>
          <w:tcPr>
            <w:tcW w:w="740" w:type="dxa"/>
            <w:vAlign w:val="center"/>
          </w:tcPr>
          <w:p>
            <w:pPr>
              <w:spacing w:line="240" w:lineRule="auto"/>
              <w:jc w:val="center"/>
              <w:rPr>
                <w:rFonts w:ascii="宋体" w:hAnsi="宋体" w:cs="宋体"/>
                <w:bCs/>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556" w:type="dxa"/>
            <w:vAlign w:val="center"/>
          </w:tcPr>
          <w:p>
            <w:pPr>
              <w:spacing w:line="240" w:lineRule="auto"/>
              <w:jc w:val="center"/>
              <w:rPr>
                <w:rFonts w:ascii="宋体" w:hAnsi="宋体" w:cs="宋体"/>
                <w:b/>
                <w:bCs/>
                <w:szCs w:val="21"/>
                <w:highlight w:val="none"/>
              </w:rPr>
            </w:pPr>
            <w:r>
              <w:rPr>
                <w:rFonts w:hint="eastAsia" w:ascii="宋体" w:hAnsi="宋体" w:cs="宋体"/>
                <w:b/>
                <w:bCs/>
                <w:szCs w:val="21"/>
                <w:highlight w:val="none"/>
              </w:rPr>
              <w:t>9</w:t>
            </w:r>
          </w:p>
        </w:tc>
        <w:tc>
          <w:tcPr>
            <w:tcW w:w="416" w:type="dxa"/>
            <w:vMerge w:val="continue"/>
            <w:vAlign w:val="center"/>
          </w:tcPr>
          <w:p>
            <w:pPr>
              <w:widowControl/>
              <w:spacing w:line="240" w:lineRule="auto"/>
              <w:jc w:val="center"/>
              <w:textAlignment w:val="center"/>
              <w:rPr>
                <w:rFonts w:ascii="宋体" w:hAnsi="宋体" w:cs="宋体"/>
                <w:bCs/>
                <w:szCs w:val="21"/>
                <w:highlight w:val="none"/>
              </w:rPr>
            </w:pPr>
          </w:p>
        </w:tc>
        <w:tc>
          <w:tcPr>
            <w:tcW w:w="1900" w:type="dxa"/>
            <w:vAlign w:val="center"/>
          </w:tcPr>
          <w:p>
            <w:pPr>
              <w:widowControl/>
              <w:spacing w:line="240" w:lineRule="auto"/>
              <w:jc w:val="center"/>
              <w:textAlignment w:val="center"/>
              <w:rPr>
                <w:rFonts w:ascii="宋体" w:hAnsi="宋体" w:cs="宋体"/>
                <w:bCs/>
                <w:szCs w:val="21"/>
                <w:highlight w:val="none"/>
              </w:rPr>
            </w:pPr>
            <w:r>
              <w:rPr>
                <w:rFonts w:hint="eastAsia" w:ascii="宋体" w:hAnsi="宋体" w:cs="宋体"/>
                <w:color w:val="000000"/>
                <w:kern w:val="0"/>
                <w:szCs w:val="21"/>
                <w:highlight w:val="none"/>
                <w:lang w:bidi="ar"/>
              </w:rPr>
              <w:t>检测设备</w:t>
            </w:r>
          </w:p>
        </w:tc>
        <w:tc>
          <w:tcPr>
            <w:tcW w:w="542" w:type="dxa"/>
            <w:vAlign w:val="center"/>
          </w:tcPr>
          <w:p>
            <w:pPr>
              <w:widowControl/>
              <w:spacing w:line="240" w:lineRule="auto"/>
              <w:jc w:val="center"/>
              <w:textAlignment w:val="center"/>
              <w:rPr>
                <w:rFonts w:ascii="宋体" w:hAnsi="宋体" w:cs="宋体"/>
                <w:color w:val="000000"/>
                <w:kern w:val="0"/>
                <w:szCs w:val="21"/>
                <w:highlight w:val="none"/>
                <w:lang w:bidi="ar"/>
              </w:rPr>
            </w:pPr>
            <w:r>
              <w:rPr>
                <w:rFonts w:hint="eastAsia" w:ascii="宋体" w:hAnsi="宋体" w:cs="宋体"/>
                <w:color w:val="000000"/>
                <w:kern w:val="0"/>
                <w:szCs w:val="21"/>
                <w:highlight w:val="none"/>
                <w:lang w:bidi="ar"/>
              </w:rPr>
              <w:t>5</w:t>
            </w:r>
          </w:p>
        </w:tc>
        <w:tc>
          <w:tcPr>
            <w:tcW w:w="9568" w:type="dxa"/>
            <w:vAlign w:val="center"/>
          </w:tcPr>
          <w:p>
            <w:pPr>
              <w:widowControl/>
              <w:spacing w:line="240" w:lineRule="auto"/>
              <w:jc w:val="left"/>
              <w:textAlignment w:val="center"/>
              <w:rPr>
                <w:rFonts w:ascii="宋体" w:hAnsi="宋体" w:cs="宋体"/>
                <w:bCs/>
                <w:szCs w:val="21"/>
                <w:highlight w:val="none"/>
              </w:rPr>
            </w:pPr>
            <w:r>
              <w:rPr>
                <w:highlight w:val="none"/>
              </w:rPr>
              <w:t>拟投</w:t>
            </w:r>
            <w:r>
              <w:rPr>
                <w:rFonts w:hint="eastAsia"/>
                <w:highlight w:val="none"/>
                <w:lang w:val="en-US" w:eastAsia="zh-CN"/>
              </w:rPr>
              <w:t>产品</w:t>
            </w:r>
            <w:r>
              <w:rPr>
                <w:rFonts w:hint="eastAsia"/>
                <w:highlight w:val="none"/>
              </w:rPr>
              <w:t>供货商</w:t>
            </w:r>
            <w:r>
              <w:rPr>
                <w:rFonts w:hint="eastAsia" w:ascii="宋体" w:hAnsi="宋体" w:cs="宋体"/>
                <w:color w:val="000000"/>
                <w:kern w:val="0"/>
                <w:szCs w:val="21"/>
                <w:highlight w:val="none"/>
                <w:lang w:bidi="ar"/>
              </w:rPr>
              <w:t>拟投</w:t>
            </w:r>
            <w:r>
              <w:rPr>
                <w:rFonts w:hint="eastAsia" w:ascii="宋体" w:hAnsi="宋体" w:cs="宋体"/>
                <w:bCs/>
                <w:szCs w:val="21"/>
                <w:highlight w:val="none"/>
              </w:rPr>
              <w:t>产品制造商</w:t>
            </w:r>
            <w:r>
              <w:rPr>
                <w:rFonts w:hint="eastAsia" w:ascii="宋体" w:hAnsi="宋体" w:cs="宋体"/>
                <w:color w:val="000000"/>
                <w:kern w:val="0"/>
                <w:szCs w:val="21"/>
                <w:highlight w:val="none"/>
                <w:lang w:bidi="ar"/>
              </w:rPr>
              <w:t>具有以下检测设备：甲醛测试箱、电脑伺服式双柱拉力试验机、全自动破裂强度试验机、气体检测仪、椅子跌落冲击试验机，具有上述全部设备种类的，得5分；每缺1项扣1分，扣完为止。</w:t>
            </w:r>
          </w:p>
        </w:tc>
        <w:tc>
          <w:tcPr>
            <w:tcW w:w="720" w:type="dxa"/>
            <w:vAlign w:val="center"/>
          </w:tcPr>
          <w:p>
            <w:pPr>
              <w:spacing w:line="240" w:lineRule="auto"/>
              <w:jc w:val="center"/>
              <w:rPr>
                <w:rFonts w:ascii="宋体" w:hAnsi="宋体" w:cs="宋体"/>
                <w:bCs/>
                <w:i/>
                <w:iCs/>
                <w:szCs w:val="21"/>
                <w:highlight w:val="none"/>
              </w:rPr>
            </w:pPr>
          </w:p>
        </w:tc>
        <w:tc>
          <w:tcPr>
            <w:tcW w:w="692" w:type="dxa"/>
            <w:vAlign w:val="center"/>
          </w:tcPr>
          <w:p>
            <w:pPr>
              <w:spacing w:line="240" w:lineRule="auto"/>
              <w:jc w:val="center"/>
              <w:rPr>
                <w:rFonts w:ascii="宋体" w:hAnsi="宋体" w:cs="宋体"/>
                <w:bCs/>
                <w:i/>
                <w:iCs/>
                <w:szCs w:val="21"/>
                <w:highlight w:val="none"/>
              </w:rPr>
            </w:pPr>
          </w:p>
        </w:tc>
        <w:tc>
          <w:tcPr>
            <w:tcW w:w="740" w:type="dxa"/>
            <w:vAlign w:val="center"/>
          </w:tcPr>
          <w:p>
            <w:pPr>
              <w:spacing w:line="240" w:lineRule="auto"/>
              <w:jc w:val="center"/>
              <w:rPr>
                <w:rFonts w:ascii="宋体" w:hAnsi="宋体" w:cs="宋体"/>
                <w:bCs/>
                <w:i/>
                <w:iCs/>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556" w:type="dxa"/>
            <w:vAlign w:val="center"/>
          </w:tcPr>
          <w:p>
            <w:pPr>
              <w:spacing w:line="240" w:lineRule="auto"/>
              <w:jc w:val="center"/>
              <w:rPr>
                <w:rFonts w:ascii="宋体" w:hAnsi="宋体" w:cs="宋体"/>
                <w:b/>
                <w:bCs/>
                <w:szCs w:val="21"/>
                <w:highlight w:val="none"/>
              </w:rPr>
            </w:pPr>
            <w:r>
              <w:rPr>
                <w:rFonts w:hint="eastAsia" w:ascii="宋体" w:hAnsi="宋体" w:cs="宋体"/>
                <w:b/>
                <w:bCs/>
                <w:szCs w:val="21"/>
                <w:highlight w:val="none"/>
              </w:rPr>
              <w:t>10</w:t>
            </w:r>
          </w:p>
        </w:tc>
        <w:tc>
          <w:tcPr>
            <w:tcW w:w="416" w:type="dxa"/>
            <w:vMerge w:val="continue"/>
            <w:vAlign w:val="center"/>
          </w:tcPr>
          <w:p>
            <w:pPr>
              <w:widowControl/>
              <w:spacing w:line="240" w:lineRule="auto"/>
              <w:jc w:val="center"/>
              <w:textAlignment w:val="center"/>
              <w:rPr>
                <w:rFonts w:ascii="宋体" w:hAnsi="宋体" w:cs="宋体"/>
                <w:bCs/>
                <w:szCs w:val="21"/>
                <w:highlight w:val="none"/>
              </w:rPr>
            </w:pPr>
          </w:p>
        </w:tc>
        <w:tc>
          <w:tcPr>
            <w:tcW w:w="1900" w:type="dxa"/>
            <w:vAlign w:val="center"/>
          </w:tcPr>
          <w:p>
            <w:pPr>
              <w:widowControl/>
              <w:spacing w:line="240" w:lineRule="auto"/>
              <w:jc w:val="center"/>
              <w:textAlignment w:val="center"/>
              <w:rPr>
                <w:rFonts w:ascii="宋体" w:hAnsi="宋体" w:cs="宋体"/>
                <w:bCs/>
                <w:szCs w:val="21"/>
                <w:highlight w:val="none"/>
              </w:rPr>
            </w:pPr>
            <w:r>
              <w:rPr>
                <w:rFonts w:hint="eastAsia" w:ascii="宋体" w:hAnsi="宋体" w:cs="宋体"/>
                <w:color w:val="000000"/>
                <w:kern w:val="0"/>
                <w:szCs w:val="21"/>
                <w:highlight w:val="none"/>
                <w:lang w:bidi="ar"/>
              </w:rPr>
              <w:t>已标识主要技术要求（已标▲符号）</w:t>
            </w:r>
          </w:p>
        </w:tc>
        <w:tc>
          <w:tcPr>
            <w:tcW w:w="542" w:type="dxa"/>
            <w:vAlign w:val="center"/>
          </w:tcPr>
          <w:p>
            <w:pPr>
              <w:widowControl/>
              <w:spacing w:line="240" w:lineRule="auto"/>
              <w:jc w:val="center"/>
              <w:textAlignment w:val="center"/>
              <w:rPr>
                <w:rFonts w:ascii="宋体" w:hAnsi="宋体" w:cs="宋体"/>
                <w:color w:val="000000"/>
                <w:kern w:val="0"/>
                <w:szCs w:val="21"/>
                <w:highlight w:val="none"/>
                <w:lang w:bidi="ar"/>
              </w:rPr>
            </w:pPr>
            <w:r>
              <w:rPr>
                <w:rFonts w:hint="eastAsia" w:ascii="宋体" w:hAnsi="宋体" w:cs="宋体"/>
                <w:color w:val="000000"/>
                <w:kern w:val="0"/>
                <w:szCs w:val="21"/>
                <w:highlight w:val="none"/>
                <w:lang w:bidi="ar"/>
              </w:rPr>
              <w:t>5</w:t>
            </w:r>
          </w:p>
        </w:tc>
        <w:tc>
          <w:tcPr>
            <w:tcW w:w="9568" w:type="dxa"/>
            <w:vAlign w:val="center"/>
          </w:tcPr>
          <w:p>
            <w:pPr>
              <w:widowControl/>
              <w:spacing w:line="240" w:lineRule="auto"/>
              <w:jc w:val="left"/>
              <w:textAlignment w:val="center"/>
              <w:rPr>
                <w:rFonts w:ascii="宋体" w:hAnsi="宋体" w:cs="宋体"/>
                <w:bCs/>
                <w:szCs w:val="21"/>
                <w:highlight w:val="none"/>
              </w:rPr>
            </w:pPr>
            <w:r>
              <w:rPr>
                <w:highlight w:val="none"/>
              </w:rPr>
              <w:t>拟投</w:t>
            </w:r>
            <w:r>
              <w:rPr>
                <w:rFonts w:hint="eastAsia"/>
                <w:highlight w:val="none"/>
                <w:lang w:val="en-US" w:eastAsia="zh-CN"/>
              </w:rPr>
              <w:t>产品</w:t>
            </w:r>
            <w:r>
              <w:rPr>
                <w:rFonts w:hint="eastAsia"/>
                <w:highlight w:val="none"/>
              </w:rPr>
              <w:t>供货商</w:t>
            </w:r>
            <w:r>
              <w:rPr>
                <w:rFonts w:hint="eastAsia" w:ascii="宋体" w:hAnsi="宋体" w:cs="宋体"/>
                <w:color w:val="000000"/>
                <w:kern w:val="0"/>
                <w:szCs w:val="21"/>
                <w:highlight w:val="none"/>
                <w:lang w:bidi="ar"/>
              </w:rPr>
              <w:t>所投产品是来源渠道正当、产品合格的原装设备，且所投产品满足本项目《用户需求书》中标识▲的主要技术要求进行比较和评价，要求全部满足得5分，每不满足一项扣1分，扣完为止。</w:t>
            </w:r>
          </w:p>
        </w:tc>
        <w:tc>
          <w:tcPr>
            <w:tcW w:w="720" w:type="dxa"/>
            <w:vAlign w:val="center"/>
          </w:tcPr>
          <w:p>
            <w:pPr>
              <w:spacing w:line="240" w:lineRule="auto"/>
              <w:jc w:val="center"/>
              <w:rPr>
                <w:rFonts w:ascii="宋体" w:hAnsi="宋体" w:cs="宋体"/>
                <w:bCs/>
                <w:i/>
                <w:iCs/>
                <w:szCs w:val="21"/>
                <w:highlight w:val="none"/>
              </w:rPr>
            </w:pPr>
          </w:p>
        </w:tc>
        <w:tc>
          <w:tcPr>
            <w:tcW w:w="692" w:type="dxa"/>
            <w:vAlign w:val="center"/>
          </w:tcPr>
          <w:p>
            <w:pPr>
              <w:spacing w:line="240" w:lineRule="auto"/>
              <w:jc w:val="center"/>
              <w:rPr>
                <w:rFonts w:ascii="宋体" w:hAnsi="宋体" w:cs="宋体"/>
                <w:bCs/>
                <w:i/>
                <w:iCs/>
                <w:szCs w:val="21"/>
                <w:highlight w:val="none"/>
              </w:rPr>
            </w:pPr>
          </w:p>
        </w:tc>
        <w:tc>
          <w:tcPr>
            <w:tcW w:w="740" w:type="dxa"/>
            <w:vAlign w:val="center"/>
          </w:tcPr>
          <w:p>
            <w:pPr>
              <w:spacing w:line="240" w:lineRule="auto"/>
              <w:jc w:val="center"/>
              <w:rPr>
                <w:rFonts w:ascii="宋体" w:hAnsi="宋体" w:cs="宋体"/>
                <w:bCs/>
                <w:i/>
                <w:iCs/>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556" w:type="dxa"/>
            <w:vAlign w:val="center"/>
          </w:tcPr>
          <w:p>
            <w:pPr>
              <w:spacing w:line="240" w:lineRule="auto"/>
              <w:jc w:val="center"/>
              <w:rPr>
                <w:rFonts w:ascii="宋体" w:hAnsi="宋体" w:cs="宋体"/>
                <w:b/>
                <w:bCs/>
                <w:szCs w:val="21"/>
                <w:highlight w:val="none"/>
              </w:rPr>
            </w:pPr>
            <w:r>
              <w:rPr>
                <w:rFonts w:hint="eastAsia" w:ascii="宋体" w:hAnsi="宋体" w:cs="宋体"/>
                <w:b/>
                <w:bCs/>
                <w:szCs w:val="21"/>
                <w:highlight w:val="none"/>
              </w:rPr>
              <w:t>11</w:t>
            </w:r>
          </w:p>
        </w:tc>
        <w:tc>
          <w:tcPr>
            <w:tcW w:w="416" w:type="dxa"/>
            <w:vMerge w:val="continue"/>
            <w:vAlign w:val="center"/>
          </w:tcPr>
          <w:p>
            <w:pPr>
              <w:widowControl/>
              <w:spacing w:line="240" w:lineRule="auto"/>
              <w:jc w:val="center"/>
              <w:textAlignment w:val="center"/>
              <w:rPr>
                <w:rFonts w:ascii="宋体" w:hAnsi="宋体" w:cs="宋体"/>
                <w:bCs/>
                <w:szCs w:val="21"/>
                <w:highlight w:val="none"/>
              </w:rPr>
            </w:pPr>
          </w:p>
        </w:tc>
        <w:tc>
          <w:tcPr>
            <w:tcW w:w="1900" w:type="dxa"/>
            <w:vAlign w:val="center"/>
          </w:tcPr>
          <w:p>
            <w:pPr>
              <w:widowControl/>
              <w:spacing w:line="240" w:lineRule="auto"/>
              <w:jc w:val="center"/>
              <w:textAlignment w:val="center"/>
              <w:rPr>
                <w:rFonts w:ascii="宋体" w:hAnsi="宋体" w:cs="宋体"/>
                <w:bCs/>
                <w:szCs w:val="21"/>
                <w:highlight w:val="none"/>
              </w:rPr>
            </w:pPr>
            <w:r>
              <w:rPr>
                <w:rFonts w:hint="eastAsia" w:ascii="宋体" w:hAnsi="宋体" w:cs="宋体"/>
                <w:color w:val="000000"/>
                <w:kern w:val="0"/>
                <w:szCs w:val="21"/>
                <w:highlight w:val="none"/>
                <w:lang w:bidi="ar"/>
              </w:rPr>
              <w:t>家具成品的型式检测（检验）报告</w:t>
            </w:r>
          </w:p>
        </w:tc>
        <w:tc>
          <w:tcPr>
            <w:tcW w:w="542" w:type="dxa"/>
            <w:vAlign w:val="center"/>
          </w:tcPr>
          <w:p>
            <w:pPr>
              <w:widowControl/>
              <w:spacing w:line="240" w:lineRule="auto"/>
              <w:jc w:val="center"/>
              <w:textAlignment w:val="center"/>
              <w:rPr>
                <w:rFonts w:ascii="宋体" w:hAnsi="宋体" w:cs="宋体"/>
                <w:color w:val="000000"/>
                <w:kern w:val="0"/>
                <w:szCs w:val="21"/>
                <w:highlight w:val="none"/>
                <w:lang w:bidi="ar"/>
              </w:rPr>
            </w:pPr>
            <w:r>
              <w:rPr>
                <w:rFonts w:hint="eastAsia" w:ascii="宋体" w:hAnsi="宋体" w:cs="宋体"/>
                <w:color w:val="000000"/>
                <w:kern w:val="0"/>
                <w:szCs w:val="21"/>
                <w:highlight w:val="none"/>
                <w:lang w:bidi="ar"/>
              </w:rPr>
              <w:t>10</w:t>
            </w:r>
          </w:p>
        </w:tc>
        <w:tc>
          <w:tcPr>
            <w:tcW w:w="9568" w:type="dxa"/>
            <w:vAlign w:val="center"/>
          </w:tcPr>
          <w:p>
            <w:pPr>
              <w:widowControl/>
              <w:spacing w:line="240" w:lineRule="auto"/>
              <w:jc w:val="left"/>
              <w:textAlignment w:val="center"/>
              <w:rPr>
                <w:rFonts w:ascii="宋体" w:hAnsi="宋体" w:cs="宋体"/>
                <w:bCs/>
                <w:szCs w:val="21"/>
                <w:highlight w:val="none"/>
              </w:rPr>
            </w:pPr>
            <w:r>
              <w:rPr>
                <w:highlight w:val="none"/>
              </w:rPr>
              <w:t>拟投</w:t>
            </w:r>
            <w:r>
              <w:rPr>
                <w:rFonts w:hint="eastAsia"/>
                <w:highlight w:val="none"/>
                <w:lang w:val="en-US" w:eastAsia="zh-CN"/>
              </w:rPr>
              <w:t>产品</w:t>
            </w:r>
            <w:r>
              <w:rPr>
                <w:rFonts w:hint="eastAsia"/>
                <w:highlight w:val="none"/>
              </w:rPr>
              <w:t>供货商</w:t>
            </w:r>
            <w:r>
              <w:rPr>
                <w:rFonts w:hint="eastAsia" w:ascii="宋体" w:hAnsi="宋体" w:cs="宋体"/>
                <w:color w:val="000000"/>
                <w:kern w:val="0"/>
                <w:szCs w:val="21"/>
                <w:highlight w:val="none"/>
                <w:lang w:bidi="ar"/>
              </w:rPr>
              <w:t>家具成品的型式检测（检验）报告：会议桌、办公桌、办公椅、文件柜、会议椅、餐桌、餐椅、衣柜、沙发、茶几。具有上述全部检测（检验）报告得满分10分，缺1项扣1分，扣完为止。</w:t>
            </w:r>
          </w:p>
        </w:tc>
        <w:tc>
          <w:tcPr>
            <w:tcW w:w="720" w:type="dxa"/>
            <w:vAlign w:val="center"/>
          </w:tcPr>
          <w:p>
            <w:pPr>
              <w:spacing w:line="240" w:lineRule="auto"/>
              <w:jc w:val="center"/>
              <w:rPr>
                <w:rFonts w:ascii="宋体" w:hAnsi="宋体" w:cs="宋体"/>
                <w:bCs/>
                <w:i/>
                <w:iCs/>
                <w:szCs w:val="21"/>
                <w:highlight w:val="none"/>
              </w:rPr>
            </w:pPr>
          </w:p>
        </w:tc>
        <w:tc>
          <w:tcPr>
            <w:tcW w:w="692" w:type="dxa"/>
            <w:vAlign w:val="center"/>
          </w:tcPr>
          <w:p>
            <w:pPr>
              <w:spacing w:line="240" w:lineRule="auto"/>
              <w:jc w:val="center"/>
              <w:rPr>
                <w:rFonts w:ascii="宋体" w:hAnsi="宋体" w:cs="宋体"/>
                <w:bCs/>
                <w:i/>
                <w:iCs/>
                <w:szCs w:val="21"/>
                <w:highlight w:val="none"/>
              </w:rPr>
            </w:pPr>
          </w:p>
        </w:tc>
        <w:tc>
          <w:tcPr>
            <w:tcW w:w="740" w:type="dxa"/>
            <w:vAlign w:val="center"/>
          </w:tcPr>
          <w:p>
            <w:pPr>
              <w:spacing w:line="240" w:lineRule="auto"/>
              <w:jc w:val="center"/>
              <w:rPr>
                <w:rFonts w:ascii="宋体" w:hAnsi="宋体" w:cs="宋体"/>
                <w:bCs/>
                <w:i/>
                <w:iCs/>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6" w:type="dxa"/>
            <w:vAlign w:val="center"/>
          </w:tcPr>
          <w:p>
            <w:pPr>
              <w:spacing w:line="240" w:lineRule="auto"/>
              <w:jc w:val="center"/>
              <w:rPr>
                <w:rFonts w:ascii="宋体" w:hAnsi="宋体" w:cs="宋体"/>
                <w:b/>
                <w:bCs/>
                <w:szCs w:val="21"/>
                <w:highlight w:val="none"/>
              </w:rPr>
            </w:pPr>
            <w:r>
              <w:rPr>
                <w:rFonts w:hint="eastAsia" w:ascii="宋体" w:hAnsi="宋体" w:cs="宋体"/>
                <w:b/>
                <w:bCs/>
                <w:szCs w:val="21"/>
                <w:highlight w:val="none"/>
              </w:rPr>
              <w:t>12</w:t>
            </w:r>
          </w:p>
        </w:tc>
        <w:tc>
          <w:tcPr>
            <w:tcW w:w="416" w:type="dxa"/>
            <w:vMerge w:val="continue"/>
            <w:vAlign w:val="center"/>
          </w:tcPr>
          <w:p>
            <w:pPr>
              <w:widowControl/>
              <w:spacing w:line="240" w:lineRule="auto"/>
              <w:jc w:val="center"/>
              <w:textAlignment w:val="center"/>
              <w:rPr>
                <w:rFonts w:ascii="宋体" w:hAnsi="宋体" w:cs="宋体"/>
                <w:bCs/>
                <w:szCs w:val="21"/>
                <w:highlight w:val="none"/>
              </w:rPr>
            </w:pPr>
          </w:p>
        </w:tc>
        <w:tc>
          <w:tcPr>
            <w:tcW w:w="1900" w:type="dxa"/>
            <w:vAlign w:val="center"/>
          </w:tcPr>
          <w:p>
            <w:pPr>
              <w:widowControl/>
              <w:spacing w:line="240" w:lineRule="auto"/>
              <w:jc w:val="center"/>
              <w:textAlignment w:val="center"/>
              <w:rPr>
                <w:rFonts w:ascii="宋体" w:hAnsi="宋体" w:cs="宋体"/>
                <w:bCs/>
                <w:szCs w:val="21"/>
                <w:highlight w:val="none"/>
              </w:rPr>
            </w:pPr>
            <w:r>
              <w:rPr>
                <w:rFonts w:hint="eastAsia" w:ascii="宋体" w:hAnsi="宋体" w:cs="宋体"/>
                <w:color w:val="000000"/>
                <w:kern w:val="0"/>
                <w:szCs w:val="21"/>
                <w:highlight w:val="none"/>
                <w:lang w:bidi="ar"/>
              </w:rPr>
              <w:t>CTEAS售后服务体系认证</w:t>
            </w:r>
          </w:p>
        </w:tc>
        <w:tc>
          <w:tcPr>
            <w:tcW w:w="542" w:type="dxa"/>
            <w:vAlign w:val="center"/>
          </w:tcPr>
          <w:p>
            <w:pPr>
              <w:widowControl/>
              <w:spacing w:line="240" w:lineRule="auto"/>
              <w:jc w:val="center"/>
              <w:textAlignment w:val="center"/>
              <w:rPr>
                <w:rFonts w:ascii="宋体" w:hAnsi="宋体" w:cs="宋体"/>
                <w:color w:val="000000"/>
                <w:kern w:val="0"/>
                <w:szCs w:val="21"/>
                <w:highlight w:val="none"/>
                <w:lang w:bidi="ar"/>
              </w:rPr>
            </w:pPr>
            <w:r>
              <w:rPr>
                <w:rFonts w:hint="eastAsia" w:ascii="宋体" w:hAnsi="宋体" w:cs="宋体"/>
                <w:color w:val="000000"/>
                <w:kern w:val="0"/>
                <w:szCs w:val="21"/>
                <w:highlight w:val="none"/>
                <w:lang w:bidi="ar"/>
              </w:rPr>
              <w:t>5</w:t>
            </w:r>
          </w:p>
        </w:tc>
        <w:tc>
          <w:tcPr>
            <w:tcW w:w="9568" w:type="dxa"/>
            <w:vAlign w:val="center"/>
          </w:tcPr>
          <w:p>
            <w:pPr>
              <w:widowControl/>
              <w:spacing w:line="240" w:lineRule="auto"/>
              <w:jc w:val="left"/>
              <w:textAlignment w:val="center"/>
              <w:rPr>
                <w:rFonts w:ascii="宋体" w:hAnsi="宋体" w:cs="宋体"/>
                <w:bCs/>
                <w:szCs w:val="21"/>
                <w:highlight w:val="none"/>
              </w:rPr>
            </w:pPr>
            <w:r>
              <w:rPr>
                <w:highlight w:val="none"/>
              </w:rPr>
              <w:t>拟投</w:t>
            </w:r>
            <w:r>
              <w:rPr>
                <w:rFonts w:hint="eastAsia"/>
                <w:highlight w:val="none"/>
                <w:lang w:val="en-US" w:eastAsia="zh-CN"/>
              </w:rPr>
              <w:t>产品</w:t>
            </w:r>
            <w:r>
              <w:rPr>
                <w:rFonts w:hint="eastAsia"/>
                <w:highlight w:val="none"/>
              </w:rPr>
              <w:t>供货商</w:t>
            </w:r>
            <w:r>
              <w:rPr>
                <w:rFonts w:hint="eastAsia" w:ascii="宋体" w:hAnsi="宋体" w:cs="宋体"/>
                <w:color w:val="000000"/>
                <w:kern w:val="0"/>
                <w:szCs w:val="21"/>
                <w:highlight w:val="none"/>
                <w:lang w:bidi="ar"/>
              </w:rPr>
              <w:t>获得售后服务七星级及以上认证的，得5分；获得售后服务五星级认证，得3分；获得售后服务四星级认证及以下的，得1分；无提供不得分。</w:t>
            </w:r>
          </w:p>
        </w:tc>
        <w:tc>
          <w:tcPr>
            <w:tcW w:w="720" w:type="dxa"/>
            <w:vAlign w:val="center"/>
          </w:tcPr>
          <w:p>
            <w:pPr>
              <w:spacing w:line="240" w:lineRule="auto"/>
              <w:jc w:val="center"/>
              <w:rPr>
                <w:rFonts w:ascii="宋体" w:hAnsi="宋体" w:cs="宋体"/>
                <w:bCs/>
                <w:i/>
                <w:iCs/>
                <w:szCs w:val="21"/>
                <w:highlight w:val="none"/>
              </w:rPr>
            </w:pPr>
          </w:p>
        </w:tc>
        <w:tc>
          <w:tcPr>
            <w:tcW w:w="692" w:type="dxa"/>
            <w:vAlign w:val="center"/>
          </w:tcPr>
          <w:p>
            <w:pPr>
              <w:spacing w:line="240" w:lineRule="auto"/>
              <w:jc w:val="center"/>
              <w:rPr>
                <w:rFonts w:ascii="宋体" w:hAnsi="宋体" w:cs="宋体"/>
                <w:bCs/>
                <w:i/>
                <w:iCs/>
                <w:szCs w:val="21"/>
                <w:highlight w:val="none"/>
              </w:rPr>
            </w:pPr>
          </w:p>
        </w:tc>
        <w:tc>
          <w:tcPr>
            <w:tcW w:w="740" w:type="dxa"/>
            <w:vAlign w:val="center"/>
          </w:tcPr>
          <w:p>
            <w:pPr>
              <w:spacing w:line="240" w:lineRule="auto"/>
              <w:jc w:val="center"/>
              <w:rPr>
                <w:rFonts w:ascii="宋体" w:hAnsi="宋体" w:cs="宋体"/>
                <w:bCs/>
                <w:i/>
                <w:iCs/>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556" w:type="dxa"/>
            <w:vAlign w:val="center"/>
          </w:tcPr>
          <w:p>
            <w:pPr>
              <w:spacing w:line="240" w:lineRule="auto"/>
              <w:jc w:val="center"/>
              <w:rPr>
                <w:rFonts w:ascii="宋体" w:hAnsi="宋体" w:cs="宋体"/>
                <w:b/>
                <w:bCs/>
                <w:szCs w:val="21"/>
                <w:highlight w:val="none"/>
              </w:rPr>
            </w:pPr>
            <w:r>
              <w:rPr>
                <w:rFonts w:hint="eastAsia" w:ascii="宋体" w:hAnsi="宋体" w:cs="宋体"/>
                <w:b/>
                <w:bCs/>
                <w:szCs w:val="21"/>
                <w:highlight w:val="none"/>
              </w:rPr>
              <w:t>13</w:t>
            </w:r>
          </w:p>
        </w:tc>
        <w:tc>
          <w:tcPr>
            <w:tcW w:w="416" w:type="dxa"/>
            <w:vMerge w:val="continue"/>
            <w:vAlign w:val="center"/>
          </w:tcPr>
          <w:p>
            <w:pPr>
              <w:widowControl/>
              <w:spacing w:line="240" w:lineRule="auto"/>
              <w:jc w:val="center"/>
              <w:textAlignment w:val="center"/>
              <w:rPr>
                <w:rFonts w:ascii="宋体" w:hAnsi="宋体" w:cs="宋体"/>
                <w:bCs/>
                <w:szCs w:val="21"/>
                <w:highlight w:val="none"/>
              </w:rPr>
            </w:pPr>
          </w:p>
        </w:tc>
        <w:tc>
          <w:tcPr>
            <w:tcW w:w="1900" w:type="dxa"/>
            <w:vAlign w:val="center"/>
          </w:tcPr>
          <w:p>
            <w:pPr>
              <w:widowControl/>
              <w:spacing w:line="240" w:lineRule="auto"/>
              <w:jc w:val="center"/>
              <w:textAlignment w:val="center"/>
              <w:rPr>
                <w:rFonts w:ascii="宋体" w:hAnsi="宋体" w:cs="宋体"/>
                <w:bCs/>
                <w:szCs w:val="21"/>
                <w:highlight w:val="none"/>
              </w:rPr>
            </w:pPr>
            <w:r>
              <w:rPr>
                <w:rFonts w:hint="eastAsia" w:ascii="宋体" w:hAnsi="宋体" w:cs="宋体"/>
                <w:color w:val="000000"/>
                <w:kern w:val="0"/>
                <w:szCs w:val="21"/>
                <w:highlight w:val="none"/>
                <w:lang w:bidi="ar"/>
              </w:rPr>
              <w:t>商品售后服务评价体系</w:t>
            </w:r>
          </w:p>
        </w:tc>
        <w:tc>
          <w:tcPr>
            <w:tcW w:w="542" w:type="dxa"/>
            <w:vAlign w:val="center"/>
          </w:tcPr>
          <w:p>
            <w:pPr>
              <w:widowControl/>
              <w:spacing w:line="240" w:lineRule="auto"/>
              <w:jc w:val="center"/>
              <w:textAlignment w:val="center"/>
              <w:rPr>
                <w:rFonts w:hint="eastAsia" w:ascii="宋体" w:hAnsi="宋体" w:eastAsia="宋体" w:cs="宋体"/>
                <w:color w:val="000000"/>
                <w:kern w:val="0"/>
                <w:szCs w:val="21"/>
                <w:highlight w:val="none"/>
                <w:lang w:eastAsia="zh-CN" w:bidi="ar"/>
              </w:rPr>
            </w:pPr>
            <w:r>
              <w:rPr>
                <w:rFonts w:hint="eastAsia" w:ascii="宋体" w:hAnsi="宋体" w:cs="宋体"/>
                <w:color w:val="000000"/>
                <w:kern w:val="0"/>
                <w:szCs w:val="21"/>
                <w:highlight w:val="none"/>
                <w:lang w:val="en-US" w:eastAsia="zh-CN" w:bidi="ar"/>
              </w:rPr>
              <w:t>3</w:t>
            </w:r>
          </w:p>
        </w:tc>
        <w:tc>
          <w:tcPr>
            <w:tcW w:w="9568" w:type="dxa"/>
            <w:vAlign w:val="center"/>
          </w:tcPr>
          <w:p>
            <w:pPr>
              <w:widowControl/>
              <w:spacing w:line="240" w:lineRule="auto"/>
              <w:jc w:val="left"/>
              <w:textAlignment w:val="center"/>
              <w:rPr>
                <w:rFonts w:ascii="宋体" w:hAnsi="宋体" w:cs="宋体"/>
                <w:bCs/>
                <w:szCs w:val="21"/>
                <w:highlight w:val="none"/>
              </w:rPr>
            </w:pPr>
            <w:r>
              <w:rPr>
                <w:rFonts w:hint="eastAsia" w:ascii="宋体" w:hAnsi="宋体" w:cs="宋体"/>
                <w:color w:val="000000"/>
                <w:kern w:val="0"/>
                <w:szCs w:val="21"/>
                <w:highlight w:val="none"/>
                <w:lang w:bidi="ar"/>
              </w:rPr>
              <w:t>投标人具有GB/T27922-2011《商品售后服务评价体系》标准的五星级服务认证证书，证书覆盖范围需包含有木质家具、五金家具和软体家具内容，得</w:t>
            </w:r>
            <w:r>
              <w:rPr>
                <w:rFonts w:hint="eastAsia" w:ascii="宋体" w:hAnsi="宋体" w:cs="宋体"/>
                <w:color w:val="000000"/>
                <w:kern w:val="0"/>
                <w:szCs w:val="21"/>
                <w:highlight w:val="none"/>
                <w:lang w:val="en-US" w:eastAsia="zh-CN" w:bidi="ar"/>
              </w:rPr>
              <w:t>3</w:t>
            </w:r>
            <w:r>
              <w:rPr>
                <w:rFonts w:hint="eastAsia" w:ascii="宋体" w:hAnsi="宋体" w:cs="宋体"/>
                <w:color w:val="000000"/>
                <w:kern w:val="0"/>
                <w:szCs w:val="21"/>
                <w:highlight w:val="none"/>
                <w:lang w:bidi="ar"/>
              </w:rPr>
              <w:t>分；无提供不得分。</w:t>
            </w:r>
          </w:p>
        </w:tc>
        <w:tc>
          <w:tcPr>
            <w:tcW w:w="720" w:type="dxa"/>
            <w:vAlign w:val="center"/>
          </w:tcPr>
          <w:p>
            <w:pPr>
              <w:spacing w:line="240" w:lineRule="auto"/>
              <w:jc w:val="center"/>
              <w:rPr>
                <w:rFonts w:ascii="宋体" w:hAnsi="宋体" w:cs="宋体"/>
                <w:bCs/>
                <w:i/>
                <w:iCs/>
                <w:szCs w:val="21"/>
                <w:highlight w:val="none"/>
              </w:rPr>
            </w:pPr>
          </w:p>
        </w:tc>
        <w:tc>
          <w:tcPr>
            <w:tcW w:w="692" w:type="dxa"/>
            <w:vAlign w:val="center"/>
          </w:tcPr>
          <w:p>
            <w:pPr>
              <w:spacing w:line="240" w:lineRule="auto"/>
              <w:jc w:val="center"/>
              <w:rPr>
                <w:rFonts w:ascii="宋体" w:hAnsi="宋体" w:cs="宋体"/>
                <w:bCs/>
                <w:i/>
                <w:iCs/>
                <w:szCs w:val="21"/>
                <w:highlight w:val="none"/>
              </w:rPr>
            </w:pPr>
          </w:p>
        </w:tc>
        <w:tc>
          <w:tcPr>
            <w:tcW w:w="740" w:type="dxa"/>
            <w:vAlign w:val="center"/>
          </w:tcPr>
          <w:p>
            <w:pPr>
              <w:spacing w:line="240" w:lineRule="auto"/>
              <w:jc w:val="center"/>
              <w:rPr>
                <w:rFonts w:ascii="宋体" w:hAnsi="宋体" w:cs="宋体"/>
                <w:bCs/>
                <w:i/>
                <w:iCs/>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556" w:type="dxa"/>
            <w:vAlign w:val="center"/>
          </w:tcPr>
          <w:p>
            <w:pPr>
              <w:spacing w:line="240" w:lineRule="auto"/>
              <w:jc w:val="center"/>
              <w:rPr>
                <w:rFonts w:hint="eastAsia" w:ascii="宋体" w:hAnsi="宋体" w:eastAsia="宋体" w:cs="宋体"/>
                <w:b/>
                <w:bCs/>
                <w:szCs w:val="21"/>
                <w:highlight w:val="none"/>
                <w:lang w:eastAsia="zh-CN"/>
              </w:rPr>
            </w:pPr>
            <w:r>
              <w:rPr>
                <w:rFonts w:hint="eastAsia" w:ascii="宋体" w:hAnsi="宋体" w:cs="宋体"/>
                <w:b/>
                <w:bCs/>
                <w:szCs w:val="21"/>
                <w:highlight w:val="none"/>
              </w:rPr>
              <w:t>1</w:t>
            </w:r>
            <w:r>
              <w:rPr>
                <w:rFonts w:hint="eastAsia" w:ascii="宋体" w:hAnsi="宋体" w:cs="宋体"/>
                <w:b/>
                <w:bCs/>
                <w:szCs w:val="21"/>
                <w:highlight w:val="none"/>
                <w:lang w:val="en-US" w:eastAsia="zh-CN"/>
              </w:rPr>
              <w:t>4</w:t>
            </w:r>
          </w:p>
        </w:tc>
        <w:tc>
          <w:tcPr>
            <w:tcW w:w="416" w:type="dxa"/>
            <w:vMerge w:val="restart"/>
            <w:vAlign w:val="center"/>
          </w:tcPr>
          <w:p>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szCs w:val="21"/>
                <w:highlight w:val="none"/>
              </w:rPr>
              <w:t>服务方案部分</w:t>
            </w:r>
          </w:p>
        </w:tc>
        <w:tc>
          <w:tcPr>
            <w:tcW w:w="1900" w:type="dxa"/>
            <w:vAlign w:val="center"/>
          </w:tcPr>
          <w:p>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服务方案</w:t>
            </w:r>
          </w:p>
        </w:tc>
        <w:tc>
          <w:tcPr>
            <w:tcW w:w="542" w:type="dxa"/>
            <w:vAlign w:val="center"/>
          </w:tcPr>
          <w:p>
            <w:pPr>
              <w:widowControl/>
              <w:spacing w:line="240" w:lineRule="auto"/>
              <w:jc w:val="center"/>
              <w:textAlignment w:val="center"/>
              <w:rPr>
                <w:rFonts w:ascii="宋体" w:hAnsi="宋体" w:cs="宋体"/>
                <w:color w:val="000000"/>
                <w:kern w:val="0"/>
                <w:szCs w:val="21"/>
                <w:highlight w:val="none"/>
                <w:lang w:bidi="ar"/>
              </w:rPr>
            </w:pPr>
            <w:r>
              <w:rPr>
                <w:rFonts w:hint="eastAsia" w:ascii="宋体" w:hAnsi="宋体" w:cs="宋体"/>
                <w:color w:val="000000"/>
                <w:kern w:val="0"/>
                <w:szCs w:val="21"/>
                <w:highlight w:val="none"/>
                <w:lang w:bidi="ar"/>
              </w:rPr>
              <w:t>10</w:t>
            </w:r>
          </w:p>
        </w:tc>
        <w:tc>
          <w:tcPr>
            <w:tcW w:w="9568" w:type="dxa"/>
            <w:vAlign w:val="center"/>
          </w:tcPr>
          <w:p>
            <w:pPr>
              <w:widowControl/>
              <w:spacing w:line="240" w:lineRule="auto"/>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评标委员会根据投标人提供的服务方案（包括但不限于售前、售中、售后服务内容、免费保修期及质保期满后的相关承诺、其它服务承诺等内容）进行综合评价：具有完善具体的服务内容，各阶段服务计划详尽，可行性高的为优，得3分；具有较完善具体的服务内容，各阶段服务计划基本详尽，有一定可行性的为良，得2分；有服务内容及各阶段服务计划但不完善，可行性差的为一般，得1分；无提供不得分。</w:t>
            </w:r>
          </w:p>
        </w:tc>
        <w:tc>
          <w:tcPr>
            <w:tcW w:w="720" w:type="dxa"/>
            <w:vAlign w:val="center"/>
          </w:tcPr>
          <w:p>
            <w:pPr>
              <w:spacing w:line="240" w:lineRule="auto"/>
              <w:jc w:val="center"/>
              <w:rPr>
                <w:rFonts w:ascii="宋体" w:hAnsi="宋体" w:cs="宋体"/>
                <w:bCs/>
                <w:i/>
                <w:iCs/>
                <w:szCs w:val="21"/>
                <w:highlight w:val="none"/>
              </w:rPr>
            </w:pPr>
          </w:p>
        </w:tc>
        <w:tc>
          <w:tcPr>
            <w:tcW w:w="692" w:type="dxa"/>
            <w:vAlign w:val="center"/>
          </w:tcPr>
          <w:p>
            <w:pPr>
              <w:spacing w:line="240" w:lineRule="auto"/>
              <w:jc w:val="center"/>
              <w:rPr>
                <w:rFonts w:ascii="宋体" w:hAnsi="宋体" w:cs="宋体"/>
                <w:bCs/>
                <w:i/>
                <w:iCs/>
                <w:szCs w:val="21"/>
                <w:highlight w:val="none"/>
              </w:rPr>
            </w:pPr>
          </w:p>
        </w:tc>
        <w:tc>
          <w:tcPr>
            <w:tcW w:w="740" w:type="dxa"/>
            <w:vAlign w:val="center"/>
          </w:tcPr>
          <w:p>
            <w:pPr>
              <w:spacing w:line="240" w:lineRule="auto"/>
              <w:jc w:val="center"/>
              <w:rPr>
                <w:rFonts w:ascii="宋体" w:hAnsi="宋体" w:cs="宋体"/>
                <w:bCs/>
                <w:i/>
                <w:iCs/>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556" w:type="dxa"/>
            <w:vAlign w:val="center"/>
          </w:tcPr>
          <w:p>
            <w:pPr>
              <w:spacing w:line="240" w:lineRule="auto"/>
              <w:jc w:val="center"/>
              <w:rPr>
                <w:rFonts w:hint="eastAsia" w:ascii="宋体" w:hAnsi="宋体" w:eastAsia="宋体" w:cs="宋体"/>
                <w:b/>
                <w:bCs/>
                <w:szCs w:val="21"/>
                <w:highlight w:val="none"/>
                <w:lang w:eastAsia="zh-CN"/>
              </w:rPr>
            </w:pPr>
            <w:r>
              <w:rPr>
                <w:rFonts w:hint="eastAsia" w:ascii="宋体" w:hAnsi="宋体" w:cs="宋体"/>
                <w:b/>
                <w:bCs/>
                <w:szCs w:val="21"/>
                <w:highlight w:val="none"/>
              </w:rPr>
              <w:t>1</w:t>
            </w:r>
            <w:r>
              <w:rPr>
                <w:rFonts w:hint="eastAsia" w:ascii="宋体" w:hAnsi="宋体" w:cs="宋体"/>
                <w:b/>
                <w:bCs/>
                <w:szCs w:val="21"/>
                <w:highlight w:val="none"/>
                <w:lang w:val="en-US" w:eastAsia="zh-CN"/>
              </w:rPr>
              <w:t>5</w:t>
            </w:r>
          </w:p>
        </w:tc>
        <w:tc>
          <w:tcPr>
            <w:tcW w:w="416" w:type="dxa"/>
            <w:vMerge w:val="continue"/>
            <w:vAlign w:val="center"/>
          </w:tcPr>
          <w:p>
            <w:pPr>
              <w:widowControl/>
              <w:spacing w:line="240" w:lineRule="auto"/>
              <w:jc w:val="center"/>
              <w:textAlignment w:val="center"/>
              <w:rPr>
                <w:rFonts w:ascii="宋体" w:hAnsi="宋体" w:cs="宋体"/>
                <w:color w:val="000000"/>
                <w:szCs w:val="21"/>
                <w:highlight w:val="none"/>
              </w:rPr>
            </w:pPr>
          </w:p>
        </w:tc>
        <w:tc>
          <w:tcPr>
            <w:tcW w:w="1900" w:type="dxa"/>
            <w:vAlign w:val="center"/>
          </w:tcPr>
          <w:p>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质量保证措施</w:t>
            </w:r>
          </w:p>
        </w:tc>
        <w:tc>
          <w:tcPr>
            <w:tcW w:w="542" w:type="dxa"/>
            <w:vAlign w:val="center"/>
          </w:tcPr>
          <w:p>
            <w:pPr>
              <w:widowControl/>
              <w:spacing w:line="240" w:lineRule="auto"/>
              <w:jc w:val="center"/>
              <w:textAlignment w:val="center"/>
              <w:rPr>
                <w:rFonts w:ascii="宋体" w:hAnsi="宋体" w:cs="宋体"/>
                <w:color w:val="000000"/>
                <w:kern w:val="0"/>
                <w:szCs w:val="21"/>
                <w:highlight w:val="none"/>
                <w:lang w:bidi="ar"/>
              </w:rPr>
            </w:pPr>
            <w:r>
              <w:rPr>
                <w:rFonts w:hint="eastAsia" w:ascii="宋体" w:hAnsi="宋体" w:cs="宋体"/>
                <w:color w:val="000000"/>
                <w:kern w:val="0"/>
                <w:szCs w:val="21"/>
                <w:highlight w:val="none"/>
                <w:lang w:bidi="ar"/>
              </w:rPr>
              <w:t>10</w:t>
            </w:r>
          </w:p>
        </w:tc>
        <w:tc>
          <w:tcPr>
            <w:tcW w:w="9568" w:type="dxa"/>
            <w:vAlign w:val="center"/>
          </w:tcPr>
          <w:p>
            <w:pPr>
              <w:widowControl/>
              <w:spacing w:line="240" w:lineRule="auto"/>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评标委员会根据投标人的质量保证措施（包括但不限于产品质量保障、服务保障、因产品质量问题造成事故的责任承担及赔偿方案等内容）进行综合评价：质量保证措施具体详细、可操作性强的为优，得3分；质量保证措施基本具体详细，有一定可操作性的为良，得2分；质量保证措施不够具体详细，没有可操作性的为一般，得1分；无提供不得分。</w:t>
            </w:r>
          </w:p>
        </w:tc>
        <w:tc>
          <w:tcPr>
            <w:tcW w:w="720" w:type="dxa"/>
            <w:vAlign w:val="center"/>
          </w:tcPr>
          <w:p>
            <w:pPr>
              <w:spacing w:line="240" w:lineRule="auto"/>
              <w:jc w:val="center"/>
              <w:rPr>
                <w:rFonts w:ascii="宋体" w:hAnsi="宋体" w:cs="宋体"/>
                <w:bCs/>
                <w:i/>
                <w:iCs/>
                <w:szCs w:val="21"/>
                <w:highlight w:val="none"/>
              </w:rPr>
            </w:pPr>
          </w:p>
        </w:tc>
        <w:tc>
          <w:tcPr>
            <w:tcW w:w="692" w:type="dxa"/>
            <w:vAlign w:val="center"/>
          </w:tcPr>
          <w:p>
            <w:pPr>
              <w:spacing w:line="240" w:lineRule="auto"/>
              <w:jc w:val="center"/>
              <w:rPr>
                <w:rFonts w:ascii="宋体" w:hAnsi="宋体" w:cs="宋体"/>
                <w:bCs/>
                <w:i/>
                <w:iCs/>
                <w:szCs w:val="21"/>
                <w:highlight w:val="none"/>
              </w:rPr>
            </w:pPr>
          </w:p>
        </w:tc>
        <w:tc>
          <w:tcPr>
            <w:tcW w:w="740" w:type="dxa"/>
            <w:vAlign w:val="center"/>
          </w:tcPr>
          <w:p>
            <w:pPr>
              <w:spacing w:line="240" w:lineRule="auto"/>
              <w:jc w:val="center"/>
              <w:rPr>
                <w:rFonts w:ascii="宋体" w:hAnsi="宋体" w:cs="宋体"/>
                <w:bCs/>
                <w:i/>
                <w:iCs/>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016" w:hRule="atLeast"/>
          <w:jc w:val="center"/>
        </w:trPr>
        <w:tc>
          <w:tcPr>
            <w:tcW w:w="556" w:type="dxa"/>
            <w:vMerge w:val="restart"/>
            <w:vAlign w:val="center"/>
          </w:tcPr>
          <w:p>
            <w:pPr>
              <w:spacing w:line="240" w:lineRule="auto"/>
              <w:jc w:val="center"/>
              <w:rPr>
                <w:rFonts w:hint="eastAsia" w:ascii="宋体" w:hAnsi="宋体" w:eastAsia="宋体" w:cs="宋体"/>
                <w:b/>
                <w:bCs/>
                <w:szCs w:val="21"/>
                <w:highlight w:val="none"/>
                <w:lang w:eastAsia="zh-CN"/>
              </w:rPr>
            </w:pPr>
            <w:r>
              <w:rPr>
                <w:rFonts w:hint="eastAsia" w:ascii="宋体" w:hAnsi="宋体" w:cs="宋体"/>
                <w:b/>
                <w:bCs/>
                <w:szCs w:val="21"/>
                <w:highlight w:val="none"/>
              </w:rPr>
              <w:t>1</w:t>
            </w:r>
            <w:r>
              <w:rPr>
                <w:rFonts w:hint="eastAsia" w:ascii="宋体" w:hAnsi="宋体" w:cs="宋体"/>
                <w:b/>
                <w:bCs/>
                <w:szCs w:val="21"/>
                <w:highlight w:val="none"/>
                <w:lang w:val="en-US" w:eastAsia="zh-CN"/>
              </w:rPr>
              <w:t>6</w:t>
            </w:r>
          </w:p>
        </w:tc>
        <w:tc>
          <w:tcPr>
            <w:tcW w:w="2316" w:type="dxa"/>
            <w:gridSpan w:val="2"/>
            <w:vMerge w:val="restart"/>
            <w:vAlign w:val="center"/>
          </w:tcPr>
          <w:p>
            <w:pPr>
              <w:widowControl/>
              <w:spacing w:line="240" w:lineRule="auto"/>
              <w:jc w:val="center"/>
              <w:textAlignment w:val="center"/>
              <w:rPr>
                <w:rFonts w:ascii="宋体" w:hAnsi="宋体" w:cs="宋体"/>
                <w:color w:val="000000"/>
                <w:kern w:val="0"/>
                <w:szCs w:val="21"/>
                <w:highlight w:val="none"/>
                <w:lang w:bidi="ar"/>
              </w:rPr>
            </w:pPr>
            <w:r>
              <w:rPr>
                <w:rFonts w:hint="eastAsia" w:ascii="宋体" w:hAnsi="宋体" w:cs="宋体"/>
                <w:color w:val="000000"/>
                <w:kern w:val="0"/>
                <w:szCs w:val="21"/>
                <w:highlight w:val="none"/>
                <w:lang w:bidi="ar"/>
              </w:rPr>
              <w:t>价格部分</w:t>
            </w:r>
          </w:p>
        </w:tc>
        <w:tc>
          <w:tcPr>
            <w:tcW w:w="542" w:type="dxa"/>
            <w:vMerge w:val="restart"/>
            <w:vAlign w:val="center"/>
          </w:tcPr>
          <w:p>
            <w:pPr>
              <w:widowControl/>
              <w:spacing w:line="240" w:lineRule="auto"/>
              <w:jc w:val="center"/>
              <w:textAlignment w:val="center"/>
              <w:rPr>
                <w:rFonts w:ascii="宋体" w:hAnsi="宋体" w:cs="宋体"/>
                <w:color w:val="000000"/>
                <w:kern w:val="0"/>
                <w:szCs w:val="21"/>
                <w:highlight w:val="none"/>
                <w:lang w:bidi="ar"/>
              </w:rPr>
            </w:pPr>
            <w:r>
              <w:rPr>
                <w:rFonts w:hint="eastAsia" w:ascii="宋体" w:hAnsi="宋体" w:cs="宋体"/>
                <w:color w:val="000000"/>
                <w:kern w:val="0"/>
                <w:szCs w:val="21"/>
                <w:highlight w:val="none"/>
                <w:lang w:bidi="ar"/>
              </w:rPr>
              <w:t>5</w:t>
            </w:r>
          </w:p>
        </w:tc>
        <w:tc>
          <w:tcPr>
            <w:tcW w:w="9568" w:type="dxa"/>
            <w:vAlign w:val="center"/>
          </w:tcPr>
          <w:p>
            <w:pPr>
              <w:spacing w:line="240" w:lineRule="auto"/>
              <w:rPr>
                <w:rFonts w:ascii="宋体" w:hAnsi="宋体" w:cs="宋体"/>
                <w:szCs w:val="21"/>
                <w:highlight w:val="none"/>
              </w:rPr>
            </w:pPr>
            <w:r>
              <w:rPr>
                <w:rFonts w:hint="eastAsia" w:ascii="宋体" w:hAnsi="宋体" w:cs="宋体"/>
                <w:szCs w:val="21"/>
                <w:highlight w:val="none"/>
              </w:rPr>
              <w:t>评标基准价计算方法：</w:t>
            </w:r>
          </w:p>
          <w:p>
            <w:pPr>
              <w:spacing w:line="240" w:lineRule="auto"/>
              <w:rPr>
                <w:rFonts w:ascii="宋体" w:hAnsi="宋体" w:cs="宋体"/>
                <w:szCs w:val="21"/>
                <w:highlight w:val="none"/>
              </w:rPr>
            </w:pPr>
            <w:r>
              <w:rPr>
                <w:rFonts w:hint="eastAsia" w:ascii="宋体" w:hAnsi="宋体" w:cs="宋体"/>
                <w:szCs w:val="21"/>
                <w:highlight w:val="none"/>
              </w:rPr>
              <w:t>（1）在通过资格和符合性审查的投标文件且经算术校核的投标报价位于[最高投标限价×90%，最高投标限价]区间的投标人大于或等于5家时，在该区间中的投标报价中去掉一个最高价和一个最低价后，取剩余投标报价的算术平均值为评标基准价（精确到小数点后两位）；</w:t>
            </w:r>
          </w:p>
          <w:p>
            <w:pPr>
              <w:spacing w:line="240" w:lineRule="auto"/>
              <w:rPr>
                <w:rFonts w:ascii="宋体" w:hAnsi="宋体" w:cs="宋体"/>
                <w:szCs w:val="21"/>
                <w:highlight w:val="none"/>
              </w:rPr>
            </w:pPr>
            <w:r>
              <w:rPr>
                <w:rFonts w:hint="eastAsia" w:ascii="宋体" w:hAnsi="宋体" w:cs="宋体"/>
                <w:szCs w:val="21"/>
                <w:highlight w:val="none"/>
              </w:rPr>
              <w:t>（2）在通过资格和符合性审查的投标文件且经算术校核的投标报价位于[最高投标限价×90%，最高投标限价]区间的投标人少于5家（不含5家）时，直接取区间中的投标报价的算术平均值为评标基准价（精确到小数点后两位）。</w:t>
            </w:r>
          </w:p>
          <w:p>
            <w:pPr>
              <w:widowControl/>
              <w:spacing w:line="240" w:lineRule="auto"/>
              <w:jc w:val="left"/>
              <w:textAlignment w:val="center"/>
              <w:rPr>
                <w:rFonts w:ascii="宋体" w:hAnsi="宋体" w:cs="宋体"/>
                <w:szCs w:val="21"/>
                <w:highlight w:val="none"/>
              </w:rPr>
            </w:pPr>
            <w:r>
              <w:rPr>
                <w:rFonts w:hint="eastAsia" w:ascii="宋体" w:hAnsi="宋体" w:cs="宋体"/>
                <w:szCs w:val="21"/>
                <w:highlight w:val="none"/>
              </w:rPr>
              <w:t>（3）若在通过资格和符合性审查的投标文件的投标报价中，没有投标报价位于[最高投标限价×90%，最高投标限价]区间，则本项目招标失败，由招标人依法重新招标。</w:t>
            </w:r>
          </w:p>
        </w:tc>
        <w:tc>
          <w:tcPr>
            <w:tcW w:w="720" w:type="dxa"/>
            <w:vMerge w:val="restart"/>
            <w:vAlign w:val="center"/>
          </w:tcPr>
          <w:p>
            <w:pPr>
              <w:spacing w:line="240" w:lineRule="auto"/>
              <w:jc w:val="center"/>
              <w:rPr>
                <w:rFonts w:ascii="宋体" w:hAnsi="宋体" w:cs="宋体"/>
                <w:bCs/>
                <w:i/>
                <w:iCs/>
                <w:szCs w:val="21"/>
                <w:highlight w:val="none"/>
              </w:rPr>
            </w:pPr>
          </w:p>
        </w:tc>
        <w:tc>
          <w:tcPr>
            <w:tcW w:w="692" w:type="dxa"/>
            <w:vMerge w:val="restart"/>
            <w:vAlign w:val="center"/>
          </w:tcPr>
          <w:p>
            <w:pPr>
              <w:spacing w:line="240" w:lineRule="auto"/>
              <w:jc w:val="center"/>
              <w:rPr>
                <w:rFonts w:ascii="宋体" w:hAnsi="宋体" w:cs="宋体"/>
                <w:bCs/>
                <w:i/>
                <w:iCs/>
                <w:szCs w:val="21"/>
                <w:highlight w:val="none"/>
              </w:rPr>
            </w:pPr>
          </w:p>
        </w:tc>
        <w:tc>
          <w:tcPr>
            <w:tcW w:w="740" w:type="dxa"/>
            <w:vMerge w:val="restart"/>
            <w:vAlign w:val="center"/>
          </w:tcPr>
          <w:p>
            <w:pPr>
              <w:spacing w:line="240" w:lineRule="auto"/>
              <w:jc w:val="center"/>
              <w:rPr>
                <w:rFonts w:ascii="宋体" w:hAnsi="宋体" w:cs="宋体"/>
                <w:bCs/>
                <w:i/>
                <w:iCs/>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556" w:type="dxa"/>
            <w:vMerge w:val="continue"/>
            <w:vAlign w:val="center"/>
          </w:tcPr>
          <w:p>
            <w:pPr>
              <w:pStyle w:val="14"/>
              <w:spacing w:line="240" w:lineRule="auto"/>
              <w:rPr>
                <w:rFonts w:hAnsi="宋体" w:cs="宋体"/>
                <w:szCs w:val="21"/>
                <w:highlight w:val="none"/>
              </w:rPr>
            </w:pPr>
          </w:p>
        </w:tc>
        <w:tc>
          <w:tcPr>
            <w:tcW w:w="2316" w:type="dxa"/>
            <w:gridSpan w:val="2"/>
            <w:vMerge w:val="continue"/>
            <w:vAlign w:val="center"/>
          </w:tcPr>
          <w:p>
            <w:pPr>
              <w:pStyle w:val="14"/>
              <w:spacing w:line="240" w:lineRule="auto"/>
              <w:rPr>
                <w:rFonts w:hAnsi="宋体" w:cs="宋体"/>
                <w:szCs w:val="21"/>
                <w:highlight w:val="none"/>
              </w:rPr>
            </w:pPr>
          </w:p>
        </w:tc>
        <w:tc>
          <w:tcPr>
            <w:tcW w:w="542" w:type="dxa"/>
            <w:vMerge w:val="continue"/>
            <w:vAlign w:val="center"/>
          </w:tcPr>
          <w:p>
            <w:pPr>
              <w:pStyle w:val="14"/>
              <w:spacing w:line="240" w:lineRule="auto"/>
              <w:rPr>
                <w:rFonts w:hAnsi="宋体" w:cs="宋体"/>
                <w:szCs w:val="21"/>
                <w:highlight w:val="none"/>
              </w:rPr>
            </w:pPr>
          </w:p>
        </w:tc>
        <w:tc>
          <w:tcPr>
            <w:tcW w:w="9568" w:type="dxa"/>
            <w:vAlign w:val="center"/>
          </w:tcPr>
          <w:p>
            <w:pPr>
              <w:pStyle w:val="14"/>
              <w:spacing w:line="240" w:lineRule="auto"/>
              <w:rPr>
                <w:rFonts w:hAnsi="宋体" w:cs="宋体"/>
                <w:szCs w:val="21"/>
                <w:highlight w:val="none"/>
              </w:rPr>
            </w:pPr>
            <w:r>
              <w:rPr>
                <w:rFonts w:hint="eastAsia" w:hAnsi="宋体" w:cs="宋体"/>
                <w:szCs w:val="21"/>
                <w:highlight w:val="none"/>
              </w:rPr>
              <w:t>当通过资格和符合性审查并经算术校核的投标报价等于评标基准价时得5分，投标报价每高于评标基准价1%，扣0.2分，每低于评标基准价1%，扣0.1分，扣至0 分为止。精确到小数点后两位，第三位小数四舍五入。</w:t>
            </w:r>
          </w:p>
        </w:tc>
        <w:tc>
          <w:tcPr>
            <w:tcW w:w="720" w:type="dxa"/>
            <w:vMerge w:val="continue"/>
            <w:vAlign w:val="center"/>
          </w:tcPr>
          <w:p>
            <w:pPr>
              <w:pStyle w:val="14"/>
              <w:spacing w:line="240" w:lineRule="auto"/>
              <w:rPr>
                <w:rFonts w:hAnsi="宋体" w:cs="宋体"/>
                <w:szCs w:val="21"/>
                <w:highlight w:val="none"/>
              </w:rPr>
            </w:pPr>
          </w:p>
        </w:tc>
        <w:tc>
          <w:tcPr>
            <w:tcW w:w="692" w:type="dxa"/>
            <w:vMerge w:val="continue"/>
            <w:vAlign w:val="center"/>
          </w:tcPr>
          <w:p>
            <w:pPr>
              <w:pStyle w:val="14"/>
              <w:spacing w:line="240" w:lineRule="auto"/>
              <w:rPr>
                <w:rFonts w:hAnsi="宋体" w:cs="宋体"/>
                <w:szCs w:val="21"/>
                <w:highlight w:val="none"/>
              </w:rPr>
            </w:pPr>
          </w:p>
        </w:tc>
        <w:tc>
          <w:tcPr>
            <w:tcW w:w="740" w:type="dxa"/>
            <w:vMerge w:val="continue"/>
            <w:vAlign w:val="center"/>
          </w:tcPr>
          <w:p>
            <w:pPr>
              <w:pStyle w:val="14"/>
              <w:spacing w:line="240" w:lineRule="auto"/>
              <w:rPr>
                <w:rFonts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872" w:type="dxa"/>
            <w:gridSpan w:val="3"/>
            <w:vAlign w:val="center"/>
          </w:tcPr>
          <w:p>
            <w:pPr>
              <w:spacing w:line="240" w:lineRule="auto"/>
              <w:jc w:val="center"/>
              <w:rPr>
                <w:rFonts w:ascii="宋体" w:hAnsi="宋体" w:cs="宋体"/>
                <w:b/>
                <w:bCs/>
                <w:szCs w:val="21"/>
                <w:highlight w:val="none"/>
              </w:rPr>
            </w:pPr>
            <w:r>
              <w:rPr>
                <w:rFonts w:hint="eastAsia" w:ascii="宋体" w:hAnsi="宋体" w:cs="宋体"/>
                <w:b/>
                <w:bCs/>
                <w:szCs w:val="21"/>
                <w:highlight w:val="none"/>
              </w:rPr>
              <w:t>总分</w:t>
            </w:r>
          </w:p>
        </w:tc>
        <w:tc>
          <w:tcPr>
            <w:tcW w:w="542" w:type="dxa"/>
            <w:vAlign w:val="center"/>
          </w:tcPr>
          <w:p>
            <w:pPr>
              <w:spacing w:line="240" w:lineRule="auto"/>
              <w:jc w:val="center"/>
              <w:rPr>
                <w:rFonts w:ascii="宋体" w:hAnsi="宋体" w:cs="宋体"/>
                <w:b/>
                <w:bCs/>
                <w:szCs w:val="21"/>
                <w:highlight w:val="none"/>
              </w:rPr>
            </w:pPr>
            <w:r>
              <w:rPr>
                <w:rFonts w:hint="eastAsia" w:ascii="宋体" w:hAnsi="宋体" w:cs="宋体"/>
                <w:b/>
                <w:bCs/>
                <w:szCs w:val="21"/>
                <w:highlight w:val="none"/>
              </w:rPr>
              <w:t>100</w:t>
            </w:r>
          </w:p>
        </w:tc>
        <w:tc>
          <w:tcPr>
            <w:tcW w:w="9568" w:type="dxa"/>
            <w:vAlign w:val="center"/>
          </w:tcPr>
          <w:p>
            <w:pPr>
              <w:spacing w:line="240" w:lineRule="auto"/>
              <w:jc w:val="center"/>
              <w:rPr>
                <w:rFonts w:ascii="宋体" w:hAnsi="宋体" w:cs="宋体"/>
                <w:b/>
                <w:bCs/>
                <w:szCs w:val="21"/>
                <w:highlight w:val="none"/>
              </w:rPr>
            </w:pPr>
          </w:p>
        </w:tc>
        <w:tc>
          <w:tcPr>
            <w:tcW w:w="720" w:type="dxa"/>
            <w:vAlign w:val="center"/>
          </w:tcPr>
          <w:p>
            <w:pPr>
              <w:spacing w:line="240" w:lineRule="auto"/>
              <w:jc w:val="center"/>
              <w:rPr>
                <w:rFonts w:ascii="宋体" w:hAnsi="宋体" w:cs="宋体"/>
                <w:b/>
                <w:bCs/>
                <w:szCs w:val="21"/>
                <w:highlight w:val="none"/>
              </w:rPr>
            </w:pPr>
          </w:p>
        </w:tc>
        <w:tc>
          <w:tcPr>
            <w:tcW w:w="692" w:type="dxa"/>
            <w:vAlign w:val="center"/>
          </w:tcPr>
          <w:p>
            <w:pPr>
              <w:spacing w:line="240" w:lineRule="auto"/>
              <w:jc w:val="center"/>
              <w:rPr>
                <w:rFonts w:ascii="宋体" w:hAnsi="宋体" w:cs="宋体"/>
                <w:b/>
                <w:bCs/>
                <w:szCs w:val="21"/>
                <w:highlight w:val="none"/>
              </w:rPr>
            </w:pPr>
          </w:p>
        </w:tc>
        <w:tc>
          <w:tcPr>
            <w:tcW w:w="740" w:type="dxa"/>
            <w:vAlign w:val="center"/>
          </w:tcPr>
          <w:p>
            <w:pPr>
              <w:spacing w:line="240" w:lineRule="auto"/>
              <w:jc w:val="center"/>
              <w:rPr>
                <w:rFonts w:ascii="宋体" w:hAnsi="宋体" w:cs="宋体"/>
                <w:b/>
                <w:bCs/>
                <w:szCs w:val="21"/>
                <w:highlight w:val="none"/>
              </w:rPr>
            </w:pPr>
          </w:p>
        </w:tc>
      </w:t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tbl>
    <w:p>
      <w:pPr>
        <w:spacing w:line="288" w:lineRule="auto"/>
        <w:ind w:leftChars="-6" w:hanging="12" w:hangingChars="6"/>
        <w:rPr>
          <w:rFonts w:ascii="宋体" w:hAnsi="宋体"/>
          <w:szCs w:val="21"/>
          <w:highlight w:val="none"/>
        </w:rPr>
      </w:pPr>
      <w:r>
        <w:rPr>
          <w:rFonts w:hint="eastAsia" w:ascii="宋体" w:hAnsi="宋体"/>
          <w:szCs w:val="21"/>
          <w:highlight w:val="none"/>
        </w:rPr>
        <w:t>注：</w:t>
      </w:r>
    </w:p>
    <w:p>
      <w:pPr>
        <w:numPr>
          <w:ilvl w:val="0"/>
          <w:numId w:val="4"/>
        </w:numPr>
        <w:spacing w:line="288" w:lineRule="auto"/>
        <w:jc w:val="left"/>
        <w:rPr>
          <w:rFonts w:ascii="宋体" w:hAnsi="宋体" w:cs="宋体"/>
          <w:szCs w:val="21"/>
          <w:highlight w:val="none"/>
        </w:rPr>
      </w:pPr>
      <w:r>
        <w:rPr>
          <w:rFonts w:hint="eastAsia" w:ascii="宋体" w:hAnsi="宋体" w:cs="宋体"/>
          <w:szCs w:val="21"/>
          <w:highlight w:val="none"/>
        </w:rPr>
        <w:t>同类业绩：以合同中约定的供应货物为准，需提供合同关键页。上述证明文件须能反映项目类型、单位名称等信息，否则还需提供单位证明等能反映相关指标的证明文件。</w:t>
      </w:r>
    </w:p>
    <w:p>
      <w:pPr>
        <w:numPr>
          <w:ilvl w:val="0"/>
          <w:numId w:val="4"/>
        </w:numPr>
        <w:spacing w:line="288" w:lineRule="auto"/>
        <w:jc w:val="left"/>
        <w:rPr>
          <w:rFonts w:ascii="宋体" w:hAnsi="宋体" w:cs="宋体"/>
          <w:szCs w:val="21"/>
          <w:highlight w:val="none"/>
        </w:rPr>
      </w:pPr>
      <w:r>
        <w:rPr>
          <w:rFonts w:hint="eastAsia" w:ascii="宋体" w:hAnsi="宋体" w:cs="宋体"/>
          <w:szCs w:val="21"/>
          <w:highlight w:val="none"/>
        </w:rPr>
        <w:t>企业认证及荣誉：需提供有效期内的企业认证证书或荣誉证书复印件。</w:t>
      </w:r>
    </w:p>
    <w:p>
      <w:pPr>
        <w:numPr>
          <w:ilvl w:val="0"/>
          <w:numId w:val="4"/>
        </w:numPr>
        <w:spacing w:line="288" w:lineRule="auto"/>
        <w:jc w:val="left"/>
        <w:rPr>
          <w:rFonts w:ascii="宋体" w:hAnsi="宋体" w:cs="宋体"/>
          <w:szCs w:val="21"/>
          <w:highlight w:val="none"/>
        </w:rPr>
      </w:pPr>
      <w:r>
        <w:rPr>
          <w:rFonts w:hint="eastAsia" w:ascii="宋体" w:hAnsi="宋体" w:cs="宋体"/>
          <w:szCs w:val="21"/>
          <w:highlight w:val="none"/>
        </w:rPr>
        <w:t>体系认证：需提供认证证书复印件。</w:t>
      </w:r>
    </w:p>
    <w:p>
      <w:pPr>
        <w:numPr>
          <w:ilvl w:val="0"/>
          <w:numId w:val="4"/>
        </w:numPr>
        <w:spacing w:line="288" w:lineRule="auto"/>
        <w:jc w:val="left"/>
        <w:rPr>
          <w:rFonts w:ascii="宋体" w:hAnsi="宋体" w:cs="宋体"/>
          <w:szCs w:val="21"/>
          <w:highlight w:val="none"/>
        </w:rPr>
      </w:pPr>
      <w:r>
        <w:rPr>
          <w:rFonts w:hint="eastAsia" w:ascii="宋体" w:hAnsi="宋体" w:cs="宋体"/>
          <w:szCs w:val="21"/>
          <w:highlight w:val="none"/>
        </w:rPr>
        <w:t>环保产品认证：需</w:t>
      </w:r>
      <w:r>
        <w:rPr>
          <w:rFonts w:hint="eastAsia" w:ascii="宋体" w:hAnsi="宋体" w:cs="宋体"/>
          <w:bCs/>
          <w:szCs w:val="21"/>
          <w:highlight w:val="none"/>
        </w:rPr>
        <w:t>提供相应的认证证书复印件，并提供“中国质量认证中心”（网址http://www.cqc.com.cn）确认有效的网页截图，否则本项不计分。</w:t>
      </w:r>
    </w:p>
    <w:p>
      <w:pPr>
        <w:numPr>
          <w:ilvl w:val="0"/>
          <w:numId w:val="4"/>
        </w:numPr>
        <w:spacing w:line="288" w:lineRule="auto"/>
        <w:jc w:val="left"/>
        <w:rPr>
          <w:rFonts w:ascii="宋体" w:hAnsi="宋体" w:cs="宋体"/>
          <w:szCs w:val="21"/>
          <w:highlight w:val="none"/>
        </w:rPr>
      </w:pPr>
      <w:r>
        <w:rPr>
          <w:rFonts w:hint="eastAsia" w:ascii="宋体" w:hAnsi="宋体" w:cs="宋体"/>
          <w:szCs w:val="21"/>
          <w:highlight w:val="none"/>
        </w:rPr>
        <w:t>环境标志产品：需</w:t>
      </w:r>
      <w:r>
        <w:rPr>
          <w:rFonts w:hint="eastAsia" w:ascii="宋体" w:hAnsi="宋体" w:cs="宋体"/>
          <w:bCs/>
          <w:szCs w:val="21"/>
          <w:highlight w:val="none"/>
        </w:rPr>
        <w:t>提供相应的认证证书复印件，并提供“中国国家认证认可监督管理委员会”（网址http://www.cnca.gov.cn）确认有效的网页截图，否则本项不计分。</w:t>
      </w:r>
    </w:p>
    <w:p>
      <w:pPr>
        <w:numPr>
          <w:ilvl w:val="0"/>
          <w:numId w:val="4"/>
        </w:numPr>
        <w:spacing w:line="288" w:lineRule="auto"/>
        <w:jc w:val="left"/>
        <w:rPr>
          <w:rFonts w:ascii="宋体" w:hAnsi="宋体" w:cs="宋体"/>
          <w:szCs w:val="21"/>
          <w:highlight w:val="none"/>
        </w:rPr>
      </w:pPr>
      <w:r>
        <w:rPr>
          <w:rFonts w:hint="eastAsia" w:ascii="宋体" w:hAnsi="宋体" w:cs="宋体"/>
          <w:color w:val="000000"/>
          <w:kern w:val="0"/>
          <w:szCs w:val="21"/>
          <w:highlight w:val="none"/>
          <w:lang w:bidi="ar"/>
        </w:rPr>
        <w:t>greengurad系列认证：</w:t>
      </w:r>
      <w:r>
        <w:rPr>
          <w:rFonts w:hint="eastAsia" w:ascii="宋体" w:hAnsi="宋体" w:cs="宋体"/>
          <w:szCs w:val="21"/>
          <w:highlight w:val="none"/>
        </w:rPr>
        <w:t>需</w:t>
      </w:r>
      <w:r>
        <w:rPr>
          <w:rFonts w:hint="eastAsia" w:ascii="宋体" w:hAnsi="宋体" w:cs="宋体"/>
          <w:bCs/>
          <w:szCs w:val="21"/>
          <w:highlight w:val="none"/>
        </w:rPr>
        <w:t>提供相应的认证证书复印件。</w:t>
      </w:r>
    </w:p>
    <w:p>
      <w:pPr>
        <w:numPr>
          <w:ilvl w:val="0"/>
          <w:numId w:val="4"/>
        </w:numPr>
        <w:spacing w:line="288" w:lineRule="auto"/>
        <w:jc w:val="left"/>
        <w:rPr>
          <w:rFonts w:ascii="宋体" w:hAnsi="宋体" w:cs="宋体"/>
          <w:szCs w:val="21"/>
          <w:highlight w:val="none"/>
        </w:rPr>
      </w:pPr>
      <w:r>
        <w:rPr>
          <w:rFonts w:hint="eastAsia" w:ascii="宋体" w:hAnsi="宋体" w:cs="宋体"/>
          <w:szCs w:val="21"/>
          <w:highlight w:val="none"/>
        </w:rPr>
        <w:t>家具定制服务认证：需提供</w:t>
      </w:r>
      <w:r>
        <w:rPr>
          <w:rFonts w:hint="eastAsia" w:ascii="宋体" w:hAnsi="宋体" w:cs="宋体"/>
          <w:bCs/>
          <w:szCs w:val="21"/>
          <w:highlight w:val="none"/>
        </w:rPr>
        <w:t>相应的</w:t>
      </w:r>
      <w:r>
        <w:rPr>
          <w:rFonts w:hint="eastAsia" w:ascii="宋体" w:hAnsi="宋体" w:cs="宋体"/>
          <w:szCs w:val="21"/>
          <w:highlight w:val="none"/>
        </w:rPr>
        <w:t>家具定制服务认证证书复印件。</w:t>
      </w:r>
    </w:p>
    <w:p>
      <w:pPr>
        <w:numPr>
          <w:ilvl w:val="0"/>
          <w:numId w:val="4"/>
        </w:numPr>
        <w:spacing w:line="288" w:lineRule="auto"/>
        <w:jc w:val="left"/>
        <w:rPr>
          <w:rFonts w:ascii="宋体" w:hAnsi="宋体" w:cs="宋体"/>
          <w:szCs w:val="21"/>
          <w:highlight w:val="none"/>
        </w:rPr>
      </w:pPr>
      <w:r>
        <w:rPr>
          <w:rFonts w:hint="eastAsia" w:ascii="宋体" w:hAnsi="宋体" w:cs="宋体"/>
          <w:szCs w:val="21"/>
          <w:highlight w:val="none"/>
        </w:rPr>
        <w:t>生产设备：需提供设备实景照片、合同、发票复印件等，同时作为后续考察中标厂家实际情况的依据。</w:t>
      </w:r>
    </w:p>
    <w:p>
      <w:pPr>
        <w:numPr>
          <w:ilvl w:val="0"/>
          <w:numId w:val="4"/>
        </w:numPr>
        <w:spacing w:line="288" w:lineRule="auto"/>
        <w:jc w:val="left"/>
        <w:rPr>
          <w:rFonts w:ascii="宋体" w:hAnsi="宋体" w:cs="宋体"/>
          <w:szCs w:val="21"/>
          <w:highlight w:val="none"/>
        </w:rPr>
      </w:pPr>
      <w:r>
        <w:rPr>
          <w:rFonts w:hint="eastAsia" w:ascii="宋体" w:hAnsi="宋体" w:cs="宋体"/>
          <w:color w:val="000000"/>
          <w:kern w:val="0"/>
          <w:szCs w:val="21"/>
          <w:highlight w:val="none"/>
          <w:lang w:bidi="ar"/>
        </w:rPr>
        <w:t>检测设备：</w:t>
      </w:r>
      <w:r>
        <w:rPr>
          <w:rFonts w:hint="eastAsia" w:ascii="宋体" w:hAnsi="宋体" w:cs="宋体"/>
          <w:szCs w:val="21"/>
          <w:highlight w:val="none"/>
        </w:rPr>
        <w:t>需提供设备实景照片、合同、发票复印件等，同时作为后续考察中标厂家实际情况的依据。</w:t>
      </w:r>
    </w:p>
    <w:p>
      <w:pPr>
        <w:numPr>
          <w:ilvl w:val="0"/>
          <w:numId w:val="4"/>
        </w:numPr>
        <w:spacing w:line="288" w:lineRule="auto"/>
        <w:jc w:val="left"/>
        <w:rPr>
          <w:rFonts w:ascii="宋体" w:hAnsi="宋体" w:cs="宋体"/>
          <w:szCs w:val="21"/>
          <w:highlight w:val="none"/>
        </w:rPr>
      </w:pPr>
      <w:r>
        <w:rPr>
          <w:rFonts w:hint="eastAsia" w:ascii="宋体" w:hAnsi="宋体" w:cs="宋体"/>
          <w:szCs w:val="21"/>
          <w:highlight w:val="none"/>
        </w:rPr>
        <w:t>已标识主要技术：需提供相对应的抽样检测（检验）报告作为佐证，检测（检验）报告</w:t>
      </w:r>
      <w:r>
        <w:rPr>
          <w:rFonts w:hint="eastAsia" w:ascii="宋体" w:hAnsi="宋体" w:cs="宋体"/>
          <w:color w:val="000000"/>
          <w:kern w:val="0"/>
          <w:szCs w:val="21"/>
          <w:highlight w:val="none"/>
          <w:lang w:bidi="ar"/>
        </w:rPr>
        <w:t>需</w:t>
      </w:r>
      <w:r>
        <w:rPr>
          <w:rFonts w:hint="eastAsia" w:ascii="宋体" w:hAnsi="宋体" w:cs="宋体"/>
          <w:szCs w:val="21"/>
          <w:highlight w:val="none"/>
        </w:rPr>
        <w:t>为2020年1月1日至投标截止时间止由国家认可的第三方检测（检验）机构颁发的，检测（检验）报告封面需有CMA、CNAS两种标志（国认监认字），检测（检验）报告</w:t>
      </w:r>
      <w:r>
        <w:rPr>
          <w:rFonts w:hint="eastAsia" w:ascii="宋体" w:hAnsi="宋体" w:cs="宋体"/>
          <w:color w:val="000000"/>
          <w:kern w:val="0"/>
          <w:szCs w:val="21"/>
          <w:highlight w:val="none"/>
          <w:lang w:bidi="ar"/>
        </w:rPr>
        <w:t>需</w:t>
      </w:r>
      <w:r>
        <w:rPr>
          <w:rFonts w:hint="eastAsia" w:ascii="宋体" w:hAnsi="宋体" w:cs="宋体"/>
          <w:szCs w:val="21"/>
          <w:highlight w:val="none"/>
        </w:rPr>
        <w:t>为抽样检测（检验），检测（检验）报告加盖公章。具体主要技术要求，详见《用户需求书》。</w:t>
      </w:r>
    </w:p>
    <w:p>
      <w:pPr>
        <w:numPr>
          <w:ilvl w:val="0"/>
          <w:numId w:val="4"/>
        </w:numPr>
        <w:spacing w:line="288" w:lineRule="auto"/>
        <w:jc w:val="left"/>
        <w:rPr>
          <w:rFonts w:ascii="宋体" w:hAnsi="宋体" w:cs="宋体"/>
          <w:szCs w:val="21"/>
          <w:highlight w:val="none"/>
        </w:rPr>
      </w:pPr>
      <w:r>
        <w:rPr>
          <w:rFonts w:hint="eastAsia" w:ascii="宋体" w:hAnsi="宋体" w:cs="宋体"/>
          <w:color w:val="000000"/>
          <w:kern w:val="0"/>
          <w:szCs w:val="21"/>
          <w:highlight w:val="none"/>
          <w:lang w:bidi="ar"/>
        </w:rPr>
        <w:t>家具成品的型式检测（检验）报告：需提供复印件加盖公章，检测（检验）报告需为</w:t>
      </w:r>
      <w:r>
        <w:rPr>
          <w:rFonts w:hint="eastAsia" w:ascii="宋体" w:hAnsi="宋体" w:cs="宋体"/>
          <w:szCs w:val="21"/>
          <w:highlight w:val="none"/>
        </w:rPr>
        <w:t>2020年1月1日至投标截止时间止由</w:t>
      </w:r>
      <w:r>
        <w:rPr>
          <w:rFonts w:hint="eastAsia" w:ascii="宋体" w:hAnsi="宋体" w:cs="宋体"/>
          <w:color w:val="000000"/>
          <w:kern w:val="0"/>
          <w:szCs w:val="21"/>
          <w:highlight w:val="none"/>
          <w:lang w:bidi="ar"/>
        </w:rPr>
        <w:t>国家认可的第三方检测（检验）机构颁发的，检测（检验）报告封面需有CMA、CNAS两种标志（国认监认字），不提供或未按要求提供不得分。</w:t>
      </w:r>
    </w:p>
    <w:p>
      <w:pPr>
        <w:numPr>
          <w:ilvl w:val="0"/>
          <w:numId w:val="4"/>
        </w:numPr>
        <w:spacing w:line="288" w:lineRule="auto"/>
        <w:jc w:val="left"/>
        <w:rPr>
          <w:rFonts w:ascii="宋体" w:hAnsi="宋体" w:cs="宋体"/>
          <w:szCs w:val="21"/>
          <w:highlight w:val="none"/>
        </w:rPr>
      </w:pPr>
      <w:r>
        <w:rPr>
          <w:rFonts w:hint="eastAsia" w:ascii="宋体" w:hAnsi="宋体" w:cs="宋体"/>
          <w:szCs w:val="21"/>
          <w:highlight w:val="none"/>
        </w:rPr>
        <w:t>CTEAS售后服务体系认证：需</w:t>
      </w:r>
      <w:r>
        <w:rPr>
          <w:rFonts w:hint="eastAsia" w:ascii="宋体" w:hAnsi="宋体" w:cs="宋体"/>
          <w:bCs/>
          <w:szCs w:val="21"/>
          <w:highlight w:val="none"/>
        </w:rPr>
        <w:t>提供相应的认证证书复印件。</w:t>
      </w:r>
    </w:p>
    <w:p>
      <w:pPr>
        <w:numPr>
          <w:ilvl w:val="0"/>
          <w:numId w:val="4"/>
        </w:numPr>
        <w:spacing w:line="288" w:lineRule="auto"/>
        <w:jc w:val="left"/>
        <w:rPr>
          <w:rFonts w:ascii="宋体" w:hAnsi="宋体" w:cs="宋体"/>
          <w:szCs w:val="21"/>
          <w:highlight w:val="none"/>
        </w:rPr>
      </w:pPr>
      <w:r>
        <w:rPr>
          <w:rFonts w:hint="eastAsia" w:ascii="宋体" w:hAnsi="宋体" w:cs="宋体"/>
          <w:szCs w:val="21"/>
          <w:highlight w:val="none"/>
        </w:rPr>
        <w:t>商品售后服务评价体系：需</w:t>
      </w:r>
      <w:r>
        <w:rPr>
          <w:rFonts w:hint="eastAsia" w:ascii="宋体" w:hAnsi="宋体" w:cs="宋体"/>
          <w:bCs/>
          <w:szCs w:val="21"/>
          <w:highlight w:val="none"/>
        </w:rPr>
        <w:t>提供相应的认证证书复印件。</w:t>
      </w:r>
    </w:p>
    <w:p>
      <w:pPr>
        <w:numPr>
          <w:ilvl w:val="0"/>
          <w:numId w:val="4"/>
        </w:numPr>
        <w:spacing w:line="288" w:lineRule="auto"/>
        <w:jc w:val="left"/>
        <w:rPr>
          <w:rFonts w:ascii="宋体" w:hAnsi="宋体" w:cs="宋体"/>
          <w:szCs w:val="21"/>
          <w:highlight w:val="none"/>
        </w:rPr>
      </w:pPr>
      <w:r>
        <w:rPr>
          <w:rFonts w:hint="eastAsia" w:ascii="宋体" w:hAnsi="宋体" w:cs="宋体"/>
          <w:color w:val="000000"/>
          <w:kern w:val="0"/>
          <w:szCs w:val="21"/>
          <w:highlight w:val="none"/>
          <w:lang w:bidi="ar"/>
        </w:rPr>
        <w:t>售后服务团队：</w:t>
      </w:r>
    </w:p>
    <w:p>
      <w:pPr>
        <w:spacing w:line="288" w:lineRule="auto"/>
        <w:jc w:val="left"/>
        <w:rPr>
          <w:rFonts w:ascii="宋体" w:hAnsi="宋体" w:cs="宋体"/>
          <w:szCs w:val="21"/>
          <w:highlight w:val="none"/>
        </w:rPr>
      </w:pPr>
      <w:r>
        <w:rPr>
          <w:rFonts w:hint="eastAsia" w:ascii="宋体" w:hAnsi="宋体" w:cs="宋体"/>
          <w:color w:val="000000"/>
          <w:kern w:val="0"/>
          <w:szCs w:val="21"/>
          <w:highlight w:val="none"/>
          <w:lang w:bidi="ar"/>
        </w:rPr>
        <w:t>（1）需提供拟派出的售后服务团队人员的身份证、培训合格证书等，无提供不得分。</w:t>
      </w:r>
    </w:p>
    <w:p>
      <w:pPr>
        <w:spacing w:line="288" w:lineRule="auto"/>
        <w:jc w:val="left"/>
        <w:rPr>
          <w:rFonts w:ascii="宋体" w:hAnsi="宋体" w:cs="宋体"/>
          <w:color w:val="000000"/>
          <w:kern w:val="0"/>
          <w:szCs w:val="21"/>
          <w:highlight w:val="none"/>
          <w:lang w:bidi="ar"/>
        </w:rPr>
      </w:pPr>
      <w:r>
        <w:rPr>
          <w:rFonts w:hint="eastAsia" w:ascii="宋体" w:hAnsi="宋体" w:cs="宋体"/>
          <w:szCs w:val="21"/>
          <w:highlight w:val="none"/>
        </w:rPr>
        <w:t>（2）</w:t>
      </w:r>
      <w:r>
        <w:rPr>
          <w:rFonts w:hint="eastAsia" w:ascii="宋体" w:hAnsi="宋体" w:cs="宋体"/>
          <w:color w:val="000000"/>
          <w:kern w:val="0"/>
          <w:szCs w:val="21"/>
          <w:highlight w:val="none"/>
          <w:lang w:val="zh-CN" w:bidi="ar"/>
        </w:rPr>
        <w:t>需提供拟派出的售后服务团队人员应提供近1个月（202</w:t>
      </w:r>
      <w:r>
        <w:rPr>
          <w:rFonts w:hint="eastAsia" w:ascii="宋体" w:hAnsi="宋体" w:cs="宋体"/>
          <w:color w:val="000000"/>
          <w:kern w:val="0"/>
          <w:szCs w:val="21"/>
          <w:highlight w:val="none"/>
          <w:lang w:bidi="ar"/>
        </w:rPr>
        <w:t>2</w:t>
      </w:r>
      <w:r>
        <w:rPr>
          <w:rFonts w:hint="eastAsia" w:ascii="宋体" w:hAnsi="宋体" w:cs="宋体"/>
          <w:color w:val="000000"/>
          <w:kern w:val="0"/>
          <w:szCs w:val="21"/>
          <w:highlight w:val="none"/>
          <w:lang w:val="zh-CN" w:bidi="ar"/>
        </w:rPr>
        <w:t>年</w:t>
      </w:r>
      <w:r>
        <w:rPr>
          <w:rFonts w:hint="eastAsia" w:ascii="宋体" w:hAnsi="宋体" w:cs="宋体"/>
          <w:color w:val="000000"/>
          <w:kern w:val="0"/>
          <w:szCs w:val="21"/>
          <w:highlight w:val="none"/>
          <w:lang w:bidi="ar"/>
        </w:rPr>
        <w:t>9</w:t>
      </w:r>
      <w:r>
        <w:rPr>
          <w:rFonts w:hint="eastAsia" w:ascii="宋体" w:hAnsi="宋体" w:cs="宋体"/>
          <w:color w:val="000000"/>
          <w:kern w:val="0"/>
          <w:szCs w:val="21"/>
          <w:highlight w:val="none"/>
          <w:lang w:val="zh-CN" w:bidi="ar"/>
        </w:rPr>
        <w:t>月），由社保行政主管部门出具的社保证明资料原件扫描件。若在“新型冠状病毒感染肺炎”疫情期间，当地政府部门允许企业在疫情期间缓缴社会保险费且投标人未缴纳的，投标人可提供当地政府部门允许缓缴社保的相关文件作为缴纳社保的证明；并在中标后，提供后续的社保补缴情况供招标方核实，若发现弄虚作假的，则将其行为纳入不诚信名单，招标人保留上报给行政主管部门的权力。</w:t>
      </w:r>
    </w:p>
    <w:p>
      <w:pPr>
        <w:numPr>
          <w:ilvl w:val="0"/>
          <w:numId w:val="4"/>
        </w:numPr>
        <w:spacing w:line="288" w:lineRule="auto"/>
        <w:jc w:val="left"/>
        <w:rPr>
          <w:rFonts w:ascii="宋体" w:hAnsi="宋体" w:cs="宋体"/>
          <w:szCs w:val="21"/>
          <w:highlight w:val="none"/>
        </w:rPr>
      </w:pPr>
      <w:r>
        <w:rPr>
          <w:rFonts w:ascii="宋体" w:hAnsi="宋体" w:cs="宋体"/>
          <w:szCs w:val="21"/>
          <w:highlight w:val="none"/>
        </w:rPr>
        <w:t>本表中所附所有证明材料均</w:t>
      </w:r>
      <w:r>
        <w:rPr>
          <w:rFonts w:hint="eastAsia" w:ascii="宋体" w:hAnsi="宋体" w:cs="宋体"/>
          <w:szCs w:val="21"/>
          <w:highlight w:val="none"/>
        </w:rPr>
        <w:t>需</w:t>
      </w:r>
      <w:r>
        <w:rPr>
          <w:rFonts w:ascii="宋体" w:hAnsi="宋体" w:cs="宋体"/>
          <w:szCs w:val="21"/>
          <w:highlight w:val="none"/>
        </w:rPr>
        <w:t>提供原件复印件或网页截图打印件，投标人提供的原件复印件或网页截图打印件必须按招标文件规定进行</w:t>
      </w:r>
      <w:r>
        <w:rPr>
          <w:rFonts w:hint="eastAsia" w:ascii="宋体" w:hAnsi="宋体" w:cs="宋体"/>
          <w:szCs w:val="21"/>
          <w:highlight w:val="none"/>
        </w:rPr>
        <w:t>签字或盖章</w:t>
      </w:r>
      <w:r>
        <w:rPr>
          <w:rFonts w:ascii="宋体" w:hAnsi="宋体" w:cs="宋体"/>
          <w:szCs w:val="21"/>
          <w:highlight w:val="none"/>
        </w:rPr>
        <w:t>且内容必须清晰可辨，如因提供资料内容模糊导致评标时无法判断的，后果由投标人自负。上述资料不提供或提供不完整或提供不符合要求的不得分。</w:t>
      </w:r>
    </w:p>
    <w:p>
      <w:pPr>
        <w:numPr>
          <w:ilvl w:val="0"/>
          <w:numId w:val="4"/>
        </w:numPr>
        <w:spacing w:line="288" w:lineRule="auto"/>
        <w:jc w:val="left"/>
        <w:rPr>
          <w:rFonts w:ascii="宋体" w:hAnsi="宋体" w:cs="宋体"/>
          <w:szCs w:val="21"/>
          <w:highlight w:val="none"/>
        </w:rPr>
        <w:sectPr>
          <w:footerReference r:id="rId6" w:type="default"/>
          <w:pgSz w:w="16838" w:h="11906" w:orient="landscape"/>
          <w:pgMar w:top="1587" w:right="1474" w:bottom="1587" w:left="1440" w:header="851" w:footer="992" w:gutter="0"/>
          <w:cols w:space="720" w:num="1"/>
          <w:docGrid w:type="lines" w:linePitch="323" w:charSpace="0"/>
        </w:sectPr>
      </w:pPr>
      <w:r>
        <w:rPr>
          <w:rFonts w:ascii="宋体" w:hAnsi="宋体" w:cs="宋体"/>
          <w:szCs w:val="21"/>
          <w:highlight w:val="none"/>
        </w:rPr>
        <w:t>所有评委分数汇总后的算术平均值为投标人的最终得分。分数出现小数点，保留小数点后二位小数，第三位小数四舍五入。</w:t>
      </w:r>
    </w:p>
    <w:p>
      <w:pPr>
        <w:pStyle w:val="6"/>
        <w:keepNext w:val="0"/>
        <w:keepLines w:val="0"/>
        <w:spacing w:line="360" w:lineRule="auto"/>
        <w:jc w:val="center"/>
        <w:rPr>
          <w:rFonts w:ascii="宋体" w:hAnsi="宋体"/>
          <w:highlight w:val="none"/>
        </w:rPr>
      </w:pPr>
      <w:bookmarkStart w:id="65" w:name="_Toc26923"/>
      <w:bookmarkStart w:id="66" w:name="_Toc12515"/>
      <w:bookmarkStart w:id="67" w:name="_Toc17110"/>
      <w:bookmarkStart w:id="68" w:name="_Toc13718"/>
      <w:bookmarkStart w:id="69" w:name="_Toc24350"/>
      <w:bookmarkStart w:id="70" w:name="_Toc20937"/>
      <w:bookmarkStart w:id="71" w:name="_Toc508039227"/>
      <w:bookmarkStart w:id="72" w:name="_Toc13823"/>
      <w:bookmarkStart w:id="73" w:name="_Toc447001754"/>
      <w:bookmarkStart w:id="74" w:name="_Toc476051257"/>
      <w:bookmarkStart w:id="75" w:name="_Toc475517280"/>
      <w:bookmarkStart w:id="76" w:name="_Toc475508006"/>
      <w:bookmarkStart w:id="77" w:name="_Toc484938314"/>
      <w:bookmarkStart w:id="78" w:name="_Toc475511294"/>
      <w:bookmarkStart w:id="79" w:name="_Toc475508055"/>
      <w:r>
        <w:rPr>
          <w:rFonts w:hint="eastAsia" w:ascii="宋体" w:hAnsi="宋体"/>
          <w:highlight w:val="none"/>
        </w:rPr>
        <w:t>第二卷</w:t>
      </w:r>
      <w:bookmarkEnd w:id="65"/>
    </w:p>
    <w:p>
      <w:pPr>
        <w:pStyle w:val="6"/>
        <w:keepNext w:val="0"/>
        <w:keepLines w:val="0"/>
        <w:spacing w:line="360" w:lineRule="auto"/>
        <w:jc w:val="center"/>
        <w:rPr>
          <w:rFonts w:ascii="宋体" w:hAnsi="宋体"/>
          <w:highlight w:val="none"/>
        </w:rPr>
      </w:pPr>
      <w:bookmarkStart w:id="80" w:name="_Toc22630"/>
      <w:r>
        <w:rPr>
          <w:rFonts w:hint="eastAsia" w:ascii="宋体" w:hAnsi="宋体"/>
          <w:highlight w:val="none"/>
        </w:rPr>
        <w:t>第三章 用户需求书</w:t>
      </w:r>
      <w:bookmarkEnd w:id="66"/>
      <w:bookmarkEnd w:id="67"/>
      <w:bookmarkEnd w:id="68"/>
      <w:bookmarkEnd w:id="80"/>
    </w:p>
    <w:bookmarkEnd w:id="69"/>
    <w:bookmarkEnd w:id="70"/>
    <w:bookmarkEnd w:id="71"/>
    <w:bookmarkEnd w:id="72"/>
    <w:p>
      <w:pPr>
        <w:pStyle w:val="53"/>
        <w:spacing w:line="360" w:lineRule="auto"/>
        <w:rPr>
          <w:rFonts w:ascii="宋体" w:hAnsi="宋体" w:cs="宋体"/>
          <w:sz w:val="24"/>
          <w:szCs w:val="24"/>
          <w:highlight w:val="none"/>
        </w:rPr>
      </w:pPr>
    </w:p>
    <w:p>
      <w:pPr>
        <w:snapToGrid w:val="0"/>
        <w:spacing w:line="360" w:lineRule="auto"/>
        <w:ind w:firstLine="422" w:firstLineChars="200"/>
        <w:rPr>
          <w:rFonts w:ascii="宋体" w:hAnsi="宋体" w:cs="方正仿宋_GBK"/>
          <w:b/>
          <w:bCs/>
          <w:kern w:val="0"/>
          <w:szCs w:val="21"/>
          <w:highlight w:val="none"/>
        </w:rPr>
      </w:pPr>
      <w:r>
        <w:rPr>
          <w:rFonts w:hint="eastAsia" w:ascii="宋体" w:hAnsi="宋体" w:cs="方正仿宋_GBK"/>
          <w:b/>
          <w:bCs/>
          <w:kern w:val="0"/>
          <w:szCs w:val="21"/>
          <w:highlight w:val="none"/>
        </w:rPr>
        <w:t>说明：</w:t>
      </w:r>
    </w:p>
    <w:p>
      <w:pPr>
        <w:snapToGrid w:val="0"/>
        <w:spacing w:line="360" w:lineRule="auto"/>
        <w:ind w:firstLine="422" w:firstLineChars="200"/>
        <w:rPr>
          <w:rFonts w:ascii="宋体" w:hAnsi="宋体" w:cs="方正仿宋_GBK"/>
          <w:b/>
          <w:bCs/>
          <w:kern w:val="0"/>
          <w:szCs w:val="21"/>
          <w:highlight w:val="none"/>
        </w:rPr>
      </w:pPr>
      <w:r>
        <w:rPr>
          <w:rFonts w:hint="eastAsia" w:ascii="宋体" w:hAnsi="宋体" w:cs="方正仿宋_GBK"/>
          <w:b/>
          <w:bCs/>
          <w:kern w:val="0"/>
          <w:szCs w:val="21"/>
          <w:highlight w:val="none"/>
        </w:rPr>
        <w:t xml:space="preserve">1.投标人须对本项目的货物及服务进行整体响应，任何只对其中一部分内容进行的响应都被视为无效响应。 </w:t>
      </w:r>
    </w:p>
    <w:p>
      <w:pPr>
        <w:snapToGrid w:val="0"/>
        <w:spacing w:line="360" w:lineRule="auto"/>
        <w:ind w:firstLine="422" w:firstLineChars="200"/>
        <w:rPr>
          <w:rFonts w:ascii="宋体" w:hAnsi="宋体" w:cs="方正仿宋_GBK"/>
          <w:b/>
          <w:bCs/>
          <w:kern w:val="0"/>
          <w:szCs w:val="21"/>
          <w:highlight w:val="none"/>
        </w:rPr>
      </w:pPr>
      <w:r>
        <w:rPr>
          <w:rFonts w:hint="eastAsia" w:ascii="宋体" w:hAnsi="宋体" w:cs="方正仿宋_GBK"/>
          <w:b/>
          <w:bCs/>
          <w:kern w:val="0"/>
          <w:szCs w:val="21"/>
          <w:highlight w:val="none"/>
        </w:rPr>
        <w:t>2.用户需求书中打“▲”号条款为重要性条款，必须逐条进行响应，有任何一条负偏离的，将导致扣分。</w:t>
      </w:r>
    </w:p>
    <w:p>
      <w:pPr>
        <w:spacing w:before="240" w:after="240" w:line="400" w:lineRule="exact"/>
        <w:rPr>
          <w:rFonts w:ascii="宋体" w:hAnsi="宋体"/>
          <w:b/>
          <w:bCs/>
          <w:szCs w:val="21"/>
          <w:highlight w:val="none"/>
        </w:rPr>
      </w:pPr>
      <w:r>
        <w:rPr>
          <w:rFonts w:hint="eastAsia" w:ascii="宋体" w:hAnsi="宋体"/>
          <w:b/>
          <w:bCs/>
          <w:szCs w:val="21"/>
          <w:highlight w:val="none"/>
        </w:rPr>
        <w:t>1</w:t>
      </w:r>
      <w:r>
        <w:rPr>
          <w:rFonts w:ascii="宋体" w:hAnsi="宋体"/>
          <w:b/>
          <w:bCs/>
          <w:szCs w:val="21"/>
          <w:highlight w:val="none"/>
        </w:rPr>
        <w:t>.</w:t>
      </w:r>
      <w:r>
        <w:rPr>
          <w:rFonts w:hint="eastAsia" w:ascii="宋体" w:hAnsi="宋体"/>
          <w:b/>
          <w:bCs/>
          <w:szCs w:val="21"/>
          <w:highlight w:val="none"/>
        </w:rPr>
        <w:t>技术要求及参数</w:t>
      </w:r>
    </w:p>
    <w:p>
      <w:pPr>
        <w:spacing w:before="156" w:beforeLines="50" w:line="340" w:lineRule="exact"/>
        <w:ind w:firstLine="211" w:firstLineChars="100"/>
        <w:rPr>
          <w:rFonts w:ascii="宋体" w:hAnsi="宋体"/>
          <w:b/>
          <w:bCs/>
          <w:szCs w:val="21"/>
          <w:highlight w:val="none"/>
        </w:rPr>
      </w:pPr>
      <w:r>
        <w:rPr>
          <w:rFonts w:hint="eastAsia" w:ascii="宋体" w:hAnsi="宋体"/>
          <w:b/>
          <w:bCs/>
          <w:szCs w:val="21"/>
          <w:highlight w:val="none"/>
        </w:rPr>
        <w:t>1.1技术要求</w:t>
      </w:r>
    </w:p>
    <w:p>
      <w:pPr>
        <w:pStyle w:val="2"/>
        <w:spacing w:line="360" w:lineRule="auto"/>
        <w:ind w:firstLineChars="200"/>
        <w:rPr>
          <w:rFonts w:ascii="宋体" w:eastAsia="宋体" w:cs="宋体"/>
          <w:b w:val="0"/>
          <w:bCs w:val="0"/>
          <w:highlight w:val="none"/>
        </w:rPr>
      </w:pPr>
      <w:r>
        <w:rPr>
          <w:rFonts w:hint="eastAsia" w:ascii="宋体" w:eastAsia="宋体" w:cs="宋体"/>
          <w:b w:val="0"/>
          <w:bCs w:val="0"/>
          <w:highlight w:val="none"/>
        </w:rPr>
        <w:t>1.1.1投标人须提供货物主要原材料经国家认可的省级或省级以上检测机构出具的有效抽样检测报告（投标文件中提供抽样检测报告扫描件，抽样检测报告内容包括封面及所有检测内容，且有检测单位名称及电话，同时提供原件核查），出具报告时间自2020年1月1日以来至开标截止日前，检验报告的委托单位必须为投标人，检验报告同时具有CMA、iIacMRA、CNAS标识。</w:t>
      </w:r>
    </w:p>
    <w:p>
      <w:pPr>
        <w:pStyle w:val="2"/>
        <w:spacing w:line="360" w:lineRule="auto"/>
        <w:ind w:firstLineChars="200"/>
        <w:rPr>
          <w:rFonts w:ascii="宋体" w:eastAsia="宋体" w:cs="宋体"/>
          <w:b w:val="0"/>
          <w:bCs w:val="0"/>
          <w:highlight w:val="none"/>
        </w:rPr>
      </w:pPr>
      <w:r>
        <w:rPr>
          <w:rFonts w:hint="eastAsia" w:ascii="宋体" w:eastAsia="宋体" w:cs="宋体"/>
          <w:b w:val="0"/>
          <w:bCs w:val="0"/>
          <w:highlight w:val="none"/>
        </w:rPr>
        <w:t>1.1.2▲三聚氰胺板：通过GB18580-2017《室内装饰装修材料人造板及期制品中甲醛释放限量》、HJ571-2010《环境标志产品认证技术要求人造板及其制品》、GB/T15102-2017《浸渍胶膜纸饰面纤维板和刨花板》检测，甲醛释放量≤0.026mg/m³，静曲强度≥12.2MPa，弹性模量≥2600MPa，内结合强度≥0.30MPa，表面结合强度≥1.27MPa，含水率、密度符合标准要求。</w:t>
      </w:r>
    </w:p>
    <w:p>
      <w:pPr>
        <w:pStyle w:val="2"/>
        <w:spacing w:line="360" w:lineRule="auto"/>
        <w:ind w:firstLineChars="200"/>
        <w:rPr>
          <w:rFonts w:ascii="宋体" w:eastAsia="宋体" w:cs="宋体"/>
          <w:b w:val="0"/>
          <w:bCs w:val="0"/>
          <w:highlight w:val="none"/>
        </w:rPr>
      </w:pPr>
      <w:r>
        <w:rPr>
          <w:rFonts w:hint="eastAsia" w:ascii="宋体" w:eastAsia="宋体" w:cs="宋体"/>
          <w:b w:val="0"/>
          <w:bCs w:val="0"/>
          <w:highlight w:val="none"/>
        </w:rPr>
        <w:t>1.1.3▲阻燃海绵：通过GB/T10802-2006《通用软质聚醚型聚氨酯泡沫塑料》，参照：GB17927.1-2011《软体家具床垫和沙发抗引燃特性的评定第一部分阴燃的香烟》,泡沫塑料：表观密度，坐面≥45kg/m³；回弹性能（除慢回弹泡沫塑料外）≥48%，甲醛释放量不大于0.03mg/m²h；</w:t>
      </w:r>
    </w:p>
    <w:p>
      <w:pPr>
        <w:pStyle w:val="2"/>
        <w:spacing w:line="360" w:lineRule="auto"/>
        <w:ind w:firstLineChars="200"/>
        <w:rPr>
          <w:rFonts w:ascii="宋体" w:eastAsia="宋体" w:cs="宋体"/>
          <w:b w:val="0"/>
          <w:bCs w:val="0"/>
          <w:highlight w:val="none"/>
        </w:rPr>
      </w:pPr>
      <w:r>
        <w:rPr>
          <w:rFonts w:hint="eastAsia" w:ascii="宋体" w:eastAsia="宋体" w:cs="宋体"/>
          <w:b w:val="0"/>
          <w:bCs w:val="0"/>
          <w:highlight w:val="none"/>
        </w:rPr>
        <w:t>1.1.4▲热熔胶：通过GB18583-2008《室内装饰装修材料胶粘剂中有害物质限量》检测，总挥发性有机物含量≤6g/L。</w:t>
      </w:r>
    </w:p>
    <w:p>
      <w:pPr>
        <w:pStyle w:val="2"/>
        <w:spacing w:line="360" w:lineRule="auto"/>
        <w:ind w:firstLineChars="200"/>
        <w:rPr>
          <w:rFonts w:ascii="宋体" w:eastAsia="宋体" w:cs="宋体"/>
          <w:b w:val="0"/>
          <w:bCs w:val="0"/>
          <w:highlight w:val="none"/>
        </w:rPr>
      </w:pPr>
      <w:r>
        <w:rPr>
          <w:rFonts w:hint="eastAsia" w:ascii="宋体" w:eastAsia="宋体" w:cs="宋体"/>
          <w:b w:val="0"/>
          <w:bCs w:val="0"/>
          <w:highlight w:val="none"/>
        </w:rPr>
        <w:t>1.1.5▲PVC封边条：通过QB/T4463-2013《家具用封边条技术要求》检测，甲醛释放量≤0.1mg/L，可溶性重金属：铅（Pb）≤5mg/kg、镉（Cd）≤5mg/kg、铬（Cr）≤5mg/kg、汞（Hg）≤5mg/kg、砷（As）≤5mg/kg、钡（Ba）≤5mg/kg、锑（Sb）≤5mg/kg、硒（Se）≤5mg/kg。</w:t>
      </w:r>
    </w:p>
    <w:p>
      <w:pPr>
        <w:pStyle w:val="2"/>
        <w:spacing w:line="360" w:lineRule="auto"/>
        <w:ind w:firstLineChars="200"/>
        <w:rPr>
          <w:rFonts w:ascii="宋体" w:eastAsia="宋体" w:cs="宋体"/>
          <w:b w:val="0"/>
          <w:bCs w:val="0"/>
          <w:highlight w:val="none"/>
        </w:rPr>
      </w:pPr>
      <w:r>
        <w:rPr>
          <w:rFonts w:hint="eastAsia" w:ascii="宋体" w:eastAsia="宋体" w:cs="宋体"/>
          <w:b w:val="0"/>
          <w:bCs w:val="0"/>
          <w:highlight w:val="none"/>
        </w:rPr>
        <w:t>1.1.6▲环氧树脂粉末涂料：通过HG/T2006-2006《热固性粉末涂料》（室内用优等品）检测，可溶性重金属:可溶性铅≤5mg/kg、可溶性镉≤5mg/kg、可溶性铬≤5mg/kg、可溶性汞≤5mg/kg。</w:t>
      </w:r>
    </w:p>
    <w:p>
      <w:pPr>
        <w:pStyle w:val="2"/>
        <w:spacing w:line="360" w:lineRule="auto"/>
        <w:ind w:firstLineChars="200"/>
        <w:rPr>
          <w:rFonts w:ascii="宋体" w:eastAsia="宋体" w:cs="宋体"/>
          <w:b w:val="0"/>
          <w:bCs w:val="0"/>
          <w:highlight w:val="none"/>
        </w:rPr>
      </w:pPr>
      <w:r>
        <w:rPr>
          <w:rFonts w:hint="eastAsia" w:ascii="宋体" w:eastAsia="宋体" w:cs="宋体"/>
          <w:b w:val="0"/>
          <w:bCs w:val="0"/>
          <w:highlight w:val="none"/>
        </w:rPr>
        <w:t>1.1.7▲阻燃布：通过GB18401-2010《国家纺织产品基本安全技术规范》，GB/T27717-2011《家具中富马二甲酯含量的测定》，参照：GB17927.1-2011《软体家具床垫和沙发抗引燃特性的评定第一部分阴燃的香烟》甲醛含量C类≤300，可分解致癌芳香胺染料限量值≤20mg/kg，表面或内部出现任何续燃、阴燃现象，评定阻燃等级Ⅰ级。</w:t>
      </w:r>
    </w:p>
    <w:p>
      <w:pPr>
        <w:pStyle w:val="2"/>
        <w:spacing w:line="360" w:lineRule="auto"/>
        <w:ind w:firstLineChars="200"/>
        <w:rPr>
          <w:rFonts w:ascii="宋体" w:eastAsia="宋体" w:cs="宋体"/>
          <w:b w:val="0"/>
          <w:bCs w:val="0"/>
          <w:highlight w:val="none"/>
        </w:rPr>
      </w:pPr>
      <w:r>
        <w:rPr>
          <w:rFonts w:hint="eastAsia" w:ascii="宋体" w:eastAsia="宋体" w:cs="宋体"/>
          <w:b w:val="0"/>
          <w:bCs w:val="0"/>
          <w:highlight w:val="none"/>
        </w:rPr>
        <w:t>1.1.8▲尼龙五星脚：通过QB/T2280-2016《办公家具办公椅》，GB28481-2012《塑料家具中有害物质限量》检测，可溶性重金属：铅（Pb）≤90mg/kg、汞（Hg）≤60mg/kg、铬（Cr）≤60mg/kg、镉（Cd）≤75mg/kg；邻苯二甲酸酯≤0.1%，16种多环芳烃（PAH）总量≤0.4mg/kg。</w:t>
      </w:r>
    </w:p>
    <w:p>
      <w:pPr>
        <w:pStyle w:val="2"/>
        <w:spacing w:line="360" w:lineRule="auto"/>
        <w:ind w:firstLineChars="200"/>
        <w:rPr>
          <w:rFonts w:ascii="宋体" w:eastAsia="宋体" w:cs="宋体"/>
          <w:b w:val="0"/>
          <w:bCs w:val="0"/>
          <w:highlight w:val="none"/>
        </w:rPr>
      </w:pPr>
      <w:r>
        <w:rPr>
          <w:rFonts w:hint="eastAsia" w:ascii="宋体" w:eastAsia="宋体" w:cs="宋体"/>
          <w:b w:val="0"/>
          <w:bCs w:val="0"/>
          <w:highlight w:val="none"/>
        </w:rPr>
        <w:t>1.1.9▲气压棒：GB/T29525-2013《座椅升降气弹簧技术条件》检测，密封性能：气弹簧锁定在任意位置，经72h常温储存后，活塞杆不应产生位移，耐高低温性能：气弹簧经—30℃和60℃高低温储存后，公称力Fa衰减量应不大于0.7%，循环寿命：高低温性能试验后的气弹簧，再进行30×104次循环寿命，公称力Fa衰减量应不大于15.1%。。</w:t>
      </w:r>
    </w:p>
    <w:p>
      <w:pPr>
        <w:pStyle w:val="2"/>
        <w:spacing w:line="360" w:lineRule="auto"/>
        <w:ind w:firstLineChars="200"/>
        <w:rPr>
          <w:rFonts w:ascii="宋体" w:eastAsia="宋体" w:cs="宋体"/>
          <w:b w:val="0"/>
          <w:bCs w:val="0"/>
          <w:highlight w:val="none"/>
        </w:rPr>
      </w:pPr>
      <w:r>
        <w:rPr>
          <w:rFonts w:hint="eastAsia" w:ascii="宋体" w:eastAsia="宋体" w:cs="宋体"/>
          <w:b w:val="0"/>
          <w:bCs w:val="0"/>
          <w:highlight w:val="none"/>
        </w:rPr>
        <w:t>1.1.10▲底盘机构：通过GB/T3325-2017《金属家具通用技术条件》检测，金属抗盐雾18h,直径1.5mm以下锈点≤20点/d㎡,其中直径≥1.0mm锈点不超过5点；冲压件无脱层、无裂缝；涂层无漏喷、锈蚀，涂层光滑均匀、色泽一致、无流挂、无疙瘩皱皮等缺陷；电镀层表面无剥落、无毛刺、无返锈，表面无烧焦、气泡、针孔、裂纹、花斑和划痕。</w:t>
      </w:r>
    </w:p>
    <w:p>
      <w:pPr>
        <w:pStyle w:val="2"/>
        <w:spacing w:line="360" w:lineRule="auto"/>
        <w:ind w:firstLineChars="200"/>
        <w:rPr>
          <w:rFonts w:ascii="宋体" w:eastAsia="宋体" w:cs="宋体"/>
          <w:b w:val="0"/>
          <w:bCs w:val="0"/>
          <w:highlight w:val="none"/>
        </w:rPr>
      </w:pPr>
      <w:r>
        <w:rPr>
          <w:rFonts w:hint="eastAsia" w:ascii="宋体" w:eastAsia="宋体" w:cs="宋体"/>
          <w:b w:val="0"/>
          <w:bCs w:val="0"/>
          <w:highlight w:val="none"/>
        </w:rPr>
        <w:t>1.1.11▲合金五星脚：通过GB/T2280-2016《办公家具办公椅》检测，力学性能，底座静载荷756N，1Min，2次，底座的结构完整性无破坏，应无突然的明显的形变，理化性能，电镀层，耐盐雾18h,直径1.5mm以下锈点≤20点/d㎡,其中直径≥1.0mm锈点不超过5点。</w:t>
      </w:r>
    </w:p>
    <w:p>
      <w:pPr>
        <w:pStyle w:val="2"/>
        <w:spacing w:line="360" w:lineRule="auto"/>
        <w:ind w:firstLineChars="200"/>
        <w:rPr>
          <w:rFonts w:ascii="宋体" w:eastAsia="宋体" w:cs="宋体"/>
          <w:b w:val="0"/>
          <w:bCs w:val="0"/>
          <w:highlight w:val="none"/>
        </w:rPr>
      </w:pPr>
      <w:r>
        <w:rPr>
          <w:rFonts w:hint="eastAsia" w:ascii="宋体" w:eastAsia="宋体" w:cs="宋体"/>
          <w:b w:val="0"/>
          <w:bCs w:val="0"/>
          <w:highlight w:val="none"/>
        </w:rPr>
        <w:t>1.1.12▲水性面漆：通过GB18581-2020《木器涂料中有害物质限量》（水性涂料清漆）和HJ2537-2014《环境标志产品认证技术要求水性涂料》（工业涂料木器涂料）检测，游离甲醛含量≤5mg/kg，VOC含量≤68g/L,苯系物总和含量≤50mg/kg，乙二醇醚及醚酯总和含量≤80mg/kg，烷基酚聚氧乙烯醚总和含量≤42mg/kg。</w:t>
      </w:r>
    </w:p>
    <w:p>
      <w:pPr>
        <w:pStyle w:val="2"/>
        <w:spacing w:line="360" w:lineRule="auto"/>
        <w:ind w:firstLineChars="200"/>
        <w:rPr>
          <w:rFonts w:ascii="宋体" w:eastAsia="宋体" w:cs="宋体"/>
          <w:b w:val="0"/>
          <w:bCs w:val="0"/>
          <w:highlight w:val="none"/>
        </w:rPr>
      </w:pPr>
      <w:r>
        <w:rPr>
          <w:rFonts w:hint="eastAsia" w:ascii="宋体" w:eastAsia="宋体" w:cs="宋体"/>
          <w:b w:val="0"/>
          <w:bCs w:val="0"/>
          <w:highlight w:val="none"/>
        </w:rPr>
        <w:t>1.1.13▲人造革（PVC仿皮）：通过GB/T16799-2018《家具用皮革》，GB/T19941-2005《皮革和毛皮化学试验甲醛含量的测定》，GB/T19942-2005《皮革和毛皮化学试验禁用偶氮染料的测定》，GB/T22808-2008《皮革和毛皮化学试验五氯苯酚含量的测定》检测，覆面材料理化性能：皮革面料，各种面料摩擦色牢度≥4级；撕裂力≥20N，PH≥3.2，游离甲醛≤75mg/kg,PCPC类≤0.5mg/kg。</w:t>
      </w:r>
    </w:p>
    <w:p>
      <w:pPr>
        <w:pStyle w:val="2"/>
        <w:spacing w:line="360" w:lineRule="auto"/>
        <w:ind w:firstLineChars="200"/>
        <w:rPr>
          <w:rFonts w:ascii="宋体" w:eastAsia="宋体" w:cs="宋体"/>
          <w:b w:val="0"/>
          <w:bCs w:val="0"/>
          <w:highlight w:val="none"/>
        </w:rPr>
      </w:pPr>
      <w:r>
        <w:rPr>
          <w:rFonts w:hint="eastAsia" w:ascii="宋体" w:eastAsia="宋体" w:cs="宋体"/>
          <w:b w:val="0"/>
          <w:bCs w:val="0"/>
          <w:highlight w:val="none"/>
        </w:rPr>
        <w:t>1.1.14▲冷轧钢板：通过GB/T3325-2017《金属家具通用技术条件》、QB/T3827-1999《轻工产品金属镀层和化学处理层的耐腐蚀试验方法乙酸盐雾试验（ASS）法》、QB/T3832-1999《轻工产品金属镀层腐蚀试验结果的评价》检测，金属表面耐腐蚀能：乙酸盐雾连续喷雾100小时，涂层本身的耐腐蚀等级为10级，涂层对基体的保护等级为10级。</w:t>
      </w:r>
    </w:p>
    <w:p>
      <w:pPr>
        <w:pStyle w:val="2"/>
        <w:spacing w:line="360" w:lineRule="auto"/>
        <w:ind w:firstLineChars="200"/>
        <w:rPr>
          <w:rFonts w:ascii="宋体" w:eastAsia="宋体" w:cs="宋体"/>
          <w:b w:val="0"/>
          <w:bCs w:val="0"/>
          <w:highlight w:val="none"/>
        </w:rPr>
      </w:pPr>
      <w:r>
        <w:rPr>
          <w:rFonts w:hint="eastAsia" w:ascii="宋体" w:eastAsia="宋体" w:cs="宋体"/>
          <w:b w:val="0"/>
          <w:bCs w:val="0"/>
          <w:highlight w:val="none"/>
        </w:rPr>
        <w:t>1.1.15▲中密度纤维板：通过GB18580-2017《室内装饰装修材料人造板及其制品中甲醛释放限量》、GB/T11718-2009《中密度纤维板》、HJ571-2010《环境标志产品认证技术要求人造板及其制品》检测，气候箱法，甲醛释放量≤0.05mg/m3，密度0.65-0.8g/cm3，静曲强度≥30MPa，弹性模量≥3000MPa，吸水厚度膨胀率≤5%，内结合强度≥0.9MPa，表面结合强度≥1.9MPa，总挥发性有机化合物（TVOC）≤0.2mg/㎡﹒h。</w:t>
      </w:r>
    </w:p>
    <w:p>
      <w:pPr>
        <w:pStyle w:val="2"/>
        <w:spacing w:line="360" w:lineRule="auto"/>
        <w:ind w:firstLineChars="200"/>
        <w:rPr>
          <w:rFonts w:ascii="宋体" w:eastAsia="宋体" w:cs="宋体"/>
          <w:b w:val="0"/>
          <w:bCs w:val="0"/>
          <w:highlight w:val="none"/>
        </w:rPr>
      </w:pPr>
      <w:r>
        <w:rPr>
          <w:rFonts w:hint="eastAsia" w:ascii="宋体" w:eastAsia="宋体" w:cs="宋体"/>
          <w:b w:val="0"/>
          <w:bCs w:val="0"/>
          <w:highlight w:val="none"/>
        </w:rPr>
        <w:t>1.1.16▲木皮：通过GB18584-2001《室内装饰装修材料木家具中有害物质限量》、QB/T1951.1-2010《木家具质量检验及质量评定》检测，甲醛释放量≤0.2mg/L。</w:t>
      </w:r>
    </w:p>
    <w:p>
      <w:pPr>
        <w:pStyle w:val="2"/>
        <w:spacing w:line="360" w:lineRule="auto"/>
        <w:ind w:firstLineChars="200"/>
        <w:rPr>
          <w:rFonts w:ascii="宋体" w:eastAsia="宋体" w:cs="宋体"/>
          <w:b w:val="0"/>
          <w:bCs w:val="0"/>
          <w:highlight w:val="none"/>
        </w:rPr>
      </w:pPr>
      <w:r>
        <w:rPr>
          <w:rFonts w:hint="eastAsia" w:ascii="宋体" w:eastAsia="宋体" w:cs="宋体"/>
          <w:b w:val="0"/>
          <w:bCs w:val="0"/>
          <w:highlight w:val="none"/>
        </w:rPr>
        <w:t>1.1.17▲锁：通过QB/T1621-2015《家具锁》，灵活度，钥匙拔出静拉力叶片锁不应大于5N，钥匙开启扭矩不应大于0.5N.m，外观质量，外露表面经12h的中性盐雾试验后，应达到外观评级RA6级的规定，锁头、钥匙表面应平整光洁，商标字迹应清晰、端正。</w:t>
      </w:r>
    </w:p>
    <w:p>
      <w:pPr>
        <w:pStyle w:val="2"/>
        <w:spacing w:line="360" w:lineRule="auto"/>
        <w:ind w:firstLineChars="200"/>
        <w:rPr>
          <w:rFonts w:ascii="宋体" w:eastAsia="宋体" w:cs="宋体"/>
          <w:b w:val="0"/>
          <w:bCs w:val="0"/>
          <w:highlight w:val="none"/>
        </w:rPr>
      </w:pPr>
      <w:r>
        <w:rPr>
          <w:rFonts w:hint="eastAsia" w:ascii="宋体" w:eastAsia="宋体" w:cs="宋体"/>
          <w:b w:val="0"/>
          <w:bCs w:val="0"/>
          <w:highlight w:val="none"/>
        </w:rPr>
        <w:t>1.1.18▲三合一连接件：通过GB/T28203-201《家具用连接件技术要求及试验方法》检测，三合一偏心连接件偏心体抗压强度应≥346N，三合一偏心连接件预埋螺母抗拉强度应≥652N，三合一偏心连接件连接螺杆与预埋螺母抗拉强度应≥824N，三合一偏心连接件中偏心体与连接螺杆的扭矩≥7N.m，理化性能金属镀层抗盐雾18h,1.5mm以下锈点≤20点/d㎡,其中直径≥1.0mm锈点不超过5点。</w:t>
      </w:r>
    </w:p>
    <w:p>
      <w:pPr>
        <w:pStyle w:val="2"/>
        <w:spacing w:line="360" w:lineRule="auto"/>
        <w:ind w:firstLineChars="200"/>
        <w:rPr>
          <w:rFonts w:ascii="宋体" w:eastAsia="宋体" w:cs="宋体"/>
          <w:b w:val="0"/>
          <w:bCs w:val="0"/>
          <w:highlight w:val="none"/>
        </w:rPr>
      </w:pPr>
      <w:r>
        <w:rPr>
          <w:rFonts w:hint="eastAsia" w:ascii="宋体" w:eastAsia="宋体" w:cs="宋体"/>
          <w:b w:val="0"/>
          <w:bCs w:val="0"/>
          <w:highlight w:val="none"/>
        </w:rPr>
        <w:t>1.1.19▲铰链：通过GB/T2189-2013《家具五金杯状暗铰链》检测，过载要求，垂直静载荷应符合30Kg，水平静载荷应满足70N，耐久性应满足80000次，在使用调整系统前，安装B型试验门时，下沉量不应大于2mm，在耐久性试验前后，具有制动关闭装置的杯状暗铰链的关闭力应大于0.5N。</w:t>
      </w:r>
    </w:p>
    <w:p>
      <w:pPr>
        <w:spacing w:before="156" w:beforeLines="50" w:line="340" w:lineRule="exact"/>
        <w:ind w:firstLine="211" w:firstLineChars="100"/>
        <w:rPr>
          <w:rFonts w:ascii="宋体" w:hAnsi="宋体"/>
          <w:b/>
          <w:bCs/>
          <w:szCs w:val="21"/>
          <w:highlight w:val="none"/>
        </w:rPr>
      </w:pPr>
      <w:r>
        <w:rPr>
          <w:rFonts w:hint="eastAsia" w:ascii="宋体" w:hAnsi="宋体"/>
          <w:b/>
          <w:bCs/>
          <w:szCs w:val="21"/>
          <w:highlight w:val="none"/>
        </w:rPr>
        <w:t>1.1详细参数：详见附件《采购清单》。</w:t>
      </w:r>
    </w:p>
    <w:p>
      <w:pPr>
        <w:spacing w:before="240" w:after="240" w:line="400" w:lineRule="exact"/>
        <w:rPr>
          <w:rFonts w:ascii="宋体" w:hAnsi="宋体"/>
          <w:b/>
          <w:bCs/>
          <w:szCs w:val="21"/>
          <w:highlight w:val="none"/>
        </w:rPr>
      </w:pPr>
      <w:r>
        <w:rPr>
          <w:rFonts w:hint="eastAsia" w:ascii="宋体" w:hAnsi="宋体"/>
          <w:b/>
          <w:bCs/>
          <w:szCs w:val="21"/>
          <w:highlight w:val="none"/>
        </w:rPr>
        <w:t>2</w:t>
      </w:r>
      <w:r>
        <w:rPr>
          <w:rFonts w:ascii="宋体" w:hAnsi="宋体"/>
          <w:b/>
          <w:bCs/>
          <w:szCs w:val="21"/>
          <w:highlight w:val="none"/>
        </w:rPr>
        <w:t>.</w:t>
      </w:r>
      <w:r>
        <w:rPr>
          <w:rFonts w:hint="eastAsia" w:ascii="宋体" w:hAnsi="宋体"/>
          <w:b/>
          <w:bCs/>
          <w:szCs w:val="21"/>
          <w:highlight w:val="none"/>
        </w:rPr>
        <w:t>产品要求</w:t>
      </w:r>
    </w:p>
    <w:p>
      <w:pPr>
        <w:spacing w:before="156" w:beforeLines="50" w:line="340" w:lineRule="exact"/>
        <w:ind w:firstLine="211" w:firstLineChars="100"/>
        <w:rPr>
          <w:rFonts w:ascii="宋体" w:hAnsi="宋体"/>
          <w:b/>
          <w:bCs/>
          <w:szCs w:val="21"/>
          <w:highlight w:val="none"/>
        </w:rPr>
      </w:pPr>
      <w:r>
        <w:rPr>
          <w:rFonts w:hint="eastAsia" w:ascii="宋体" w:hAnsi="宋体"/>
          <w:b/>
          <w:bCs/>
          <w:szCs w:val="21"/>
          <w:highlight w:val="none"/>
        </w:rPr>
        <w:t>2</w:t>
      </w:r>
      <w:r>
        <w:rPr>
          <w:rFonts w:ascii="宋体" w:hAnsi="宋体"/>
          <w:b/>
          <w:bCs/>
          <w:szCs w:val="21"/>
          <w:highlight w:val="none"/>
        </w:rPr>
        <w:t>.1</w:t>
      </w:r>
      <w:r>
        <w:rPr>
          <w:rFonts w:hint="eastAsia" w:ascii="宋体" w:hAnsi="宋体"/>
          <w:b/>
          <w:bCs/>
          <w:szCs w:val="21"/>
          <w:highlight w:val="none"/>
        </w:rPr>
        <w:t>货物要求</w:t>
      </w:r>
    </w:p>
    <w:p>
      <w:pPr>
        <w:spacing w:before="156" w:beforeLines="50" w:line="340" w:lineRule="exact"/>
        <w:ind w:firstLine="420" w:firstLineChars="200"/>
        <w:rPr>
          <w:rFonts w:ascii="宋体" w:hAnsi="宋体" w:cs="宋体"/>
          <w:b/>
          <w:szCs w:val="21"/>
          <w:highlight w:val="none"/>
        </w:rPr>
      </w:pPr>
      <w:r>
        <w:rPr>
          <w:rFonts w:hint="eastAsia" w:ascii="宋体" w:hAnsi="宋体" w:cs="宋体"/>
          <w:szCs w:val="21"/>
          <w:highlight w:val="none"/>
        </w:rPr>
        <w:t>2.1.1投标人提供的必须是全新的货物，以招标人具体委托的采购订单为准，款式相似度要求达到95%以上。</w:t>
      </w:r>
    </w:p>
    <w:p>
      <w:pPr>
        <w:spacing w:before="156" w:beforeLines="50" w:line="340" w:lineRule="exact"/>
        <w:ind w:firstLine="420" w:firstLineChars="200"/>
        <w:rPr>
          <w:rFonts w:ascii="宋体" w:hAnsi="宋体"/>
          <w:b/>
          <w:szCs w:val="21"/>
          <w:highlight w:val="none"/>
        </w:rPr>
      </w:pPr>
      <w:r>
        <w:rPr>
          <w:rFonts w:hint="eastAsia" w:ascii="宋体" w:hAnsi="宋体" w:cs="宋体"/>
          <w:szCs w:val="21"/>
          <w:highlight w:val="none"/>
        </w:rPr>
        <w:t>2.1.2国产的货物及其有关服务必须符合中华人民共和国的设计和制造生产或行业标准。</w:t>
      </w:r>
      <w:r>
        <w:rPr>
          <w:rFonts w:hint="eastAsia" w:ascii="宋体" w:hAnsi="宋体"/>
          <w:kern w:val="0"/>
          <w:szCs w:val="21"/>
          <w:highlight w:val="none"/>
        </w:rPr>
        <w:t>投标人对本采购项目所需产品或者材料应具有规范化生产、规模化工艺流程（包括裁料、烘烤、机械加工、防腐、检验等工序），有检验机构、有可靠的质量保证体系。投标人必须对产品的生产工艺流程、主要生产货物配置及参数进行说明。</w:t>
      </w:r>
    </w:p>
    <w:p>
      <w:pPr>
        <w:spacing w:before="156" w:beforeLines="50" w:line="340" w:lineRule="exact"/>
        <w:ind w:firstLine="420" w:firstLineChars="200"/>
        <w:rPr>
          <w:rFonts w:ascii="宋体" w:hAnsi="宋体"/>
          <w:b/>
          <w:szCs w:val="21"/>
          <w:highlight w:val="none"/>
        </w:rPr>
      </w:pPr>
      <w:r>
        <w:rPr>
          <w:rFonts w:hint="eastAsia" w:ascii="宋体" w:hAnsi="宋体" w:cs="宋体"/>
          <w:szCs w:val="21"/>
          <w:highlight w:val="none"/>
        </w:rPr>
        <w:t>2.1.3投标人应保证，在中华人民共和国使用该货物或货物的任何一部分时，免受第三方提出的侵犯其专利权、商标权或工业设计权的起诉。</w:t>
      </w:r>
    </w:p>
    <w:p>
      <w:pPr>
        <w:spacing w:before="156" w:beforeLines="50" w:line="340" w:lineRule="exact"/>
        <w:ind w:firstLine="420" w:firstLineChars="200"/>
        <w:rPr>
          <w:rFonts w:ascii="宋体" w:hAnsi="宋体"/>
          <w:b/>
          <w:szCs w:val="21"/>
          <w:highlight w:val="none"/>
        </w:rPr>
      </w:pPr>
      <w:r>
        <w:rPr>
          <w:rFonts w:hint="eastAsia" w:ascii="宋体" w:hAnsi="宋体"/>
          <w:szCs w:val="21"/>
          <w:highlight w:val="none"/>
        </w:rPr>
        <w:t>2.1.4投标人须承担配送相关的运输费用。</w:t>
      </w:r>
    </w:p>
    <w:p>
      <w:pPr>
        <w:spacing w:before="156" w:beforeLines="50" w:line="340" w:lineRule="exact"/>
        <w:ind w:firstLine="420" w:firstLineChars="200"/>
        <w:rPr>
          <w:rFonts w:ascii="宋体" w:hAnsi="宋体"/>
          <w:b/>
          <w:szCs w:val="21"/>
          <w:highlight w:val="none"/>
        </w:rPr>
      </w:pPr>
      <w:r>
        <w:rPr>
          <w:rFonts w:hint="eastAsia" w:ascii="宋体" w:hAnsi="宋体"/>
          <w:szCs w:val="21"/>
          <w:highlight w:val="none"/>
        </w:rPr>
        <w:t>2.1.5</w:t>
      </w:r>
      <w:r>
        <w:rPr>
          <w:rFonts w:hint="eastAsia" w:ascii="宋体" w:hAnsi="宋体"/>
          <w:kern w:val="0"/>
          <w:szCs w:val="21"/>
          <w:highlight w:val="none"/>
        </w:rPr>
        <w:t>投标人在本采购项目中所使用的产品中，木制件含水率小于9%。所有木材必须经过干燥杀虫处理；产品受力部位用材斜纹不得超过20%；不得有死节。</w:t>
      </w:r>
    </w:p>
    <w:p>
      <w:pPr>
        <w:spacing w:before="156" w:beforeLines="50" w:line="340" w:lineRule="exact"/>
        <w:ind w:firstLine="420" w:firstLineChars="200"/>
        <w:rPr>
          <w:rFonts w:ascii="宋体" w:hAnsi="宋体"/>
          <w:b/>
          <w:szCs w:val="21"/>
          <w:highlight w:val="none"/>
        </w:rPr>
      </w:pPr>
      <w:r>
        <w:rPr>
          <w:rFonts w:hint="eastAsia" w:ascii="宋体" w:hAnsi="宋体"/>
          <w:szCs w:val="21"/>
          <w:highlight w:val="none"/>
        </w:rPr>
        <w:t>2.1.6</w:t>
      </w:r>
      <w:r>
        <w:rPr>
          <w:rFonts w:hint="eastAsia" w:ascii="宋体" w:hAnsi="宋体"/>
          <w:kern w:val="0"/>
          <w:szCs w:val="21"/>
          <w:highlight w:val="none"/>
        </w:rPr>
        <w:t>投标人在本采购项目中所使用的产品中，所有油漆表面必须光亮、平整、饱满、色泽一致、无明显色差、无磕碰、无划痕、无气孔、无斑点、无裂痕、且能经受100°c热物熨烫，无烫痕。</w:t>
      </w:r>
    </w:p>
    <w:p>
      <w:pPr>
        <w:spacing w:before="156" w:beforeLines="50" w:line="340" w:lineRule="exact"/>
        <w:ind w:firstLine="420" w:firstLineChars="200"/>
        <w:rPr>
          <w:rFonts w:ascii="宋体" w:hAnsi="宋体"/>
          <w:b/>
          <w:szCs w:val="21"/>
          <w:highlight w:val="none"/>
        </w:rPr>
      </w:pPr>
      <w:r>
        <w:rPr>
          <w:rFonts w:hint="eastAsia" w:ascii="宋体" w:hAnsi="宋体"/>
          <w:szCs w:val="21"/>
          <w:highlight w:val="none"/>
        </w:rPr>
        <w:t>2.1.7</w:t>
      </w:r>
      <w:r>
        <w:rPr>
          <w:rFonts w:hint="eastAsia" w:ascii="宋体" w:hAnsi="宋体"/>
          <w:kern w:val="0"/>
          <w:szCs w:val="21"/>
          <w:highlight w:val="none"/>
        </w:rPr>
        <w:t>投标人在本采购项目中所使用的所有</w:t>
      </w:r>
      <w:r>
        <w:rPr>
          <w:rFonts w:hint="eastAsia" w:ascii="宋体" w:hAnsi="宋体" w:cs="宋体"/>
          <w:szCs w:val="21"/>
          <w:highlight w:val="none"/>
        </w:rPr>
        <w:t>原、辅材料</w:t>
      </w:r>
      <w:r>
        <w:rPr>
          <w:rFonts w:hint="eastAsia" w:ascii="宋体" w:hAnsi="宋体"/>
          <w:szCs w:val="21"/>
          <w:highlight w:val="none"/>
        </w:rPr>
        <w:t>必须符合环保要求，不得低于E1级检验标准。</w:t>
      </w:r>
    </w:p>
    <w:p>
      <w:pPr>
        <w:spacing w:before="156" w:beforeLines="50" w:line="340" w:lineRule="exact"/>
        <w:ind w:firstLine="420" w:firstLineChars="200"/>
        <w:rPr>
          <w:rFonts w:ascii="宋体" w:hAnsi="宋体" w:cs="宋体"/>
          <w:szCs w:val="21"/>
          <w:highlight w:val="none"/>
        </w:rPr>
      </w:pPr>
      <w:r>
        <w:rPr>
          <w:rFonts w:hint="eastAsia" w:ascii="宋体" w:hAnsi="宋体" w:cs="宋体"/>
          <w:szCs w:val="21"/>
          <w:highlight w:val="none"/>
        </w:rPr>
        <w:t>2.1.8所提供的办公家具应按相关国家标准和行业标准进行设计和制造，具体标准包括但不限于以下内容（</w:t>
      </w:r>
      <w:r>
        <w:rPr>
          <w:rFonts w:hint="eastAsia" w:ascii="宋体" w:hAnsi="宋体" w:cs="宋体"/>
          <w:color w:val="000000"/>
          <w:szCs w:val="21"/>
          <w:highlight w:val="none"/>
        </w:rPr>
        <w:t>以下标准如有新标准的，按新标准执行）</w:t>
      </w:r>
      <w:r>
        <w:rPr>
          <w:rFonts w:hint="eastAsia" w:ascii="宋体" w:hAnsi="宋体" w:cs="宋体"/>
          <w:szCs w:val="21"/>
          <w:highlight w:val="none"/>
        </w:rPr>
        <w:t>：</w:t>
      </w:r>
    </w:p>
    <w:tbl>
      <w:tblPr>
        <w:tblStyle w:val="26"/>
        <w:tblW w:w="5000" w:type="pct"/>
        <w:tblInd w:w="0" w:type="dxa"/>
        <w:tblLayout w:type="autofit"/>
        <w:tblCellMar>
          <w:top w:w="0" w:type="dxa"/>
          <w:left w:w="108" w:type="dxa"/>
          <w:bottom w:w="0" w:type="dxa"/>
          <w:right w:w="108" w:type="dxa"/>
        </w:tblCellMar>
      </w:tblPr>
      <w:tblGrid>
        <w:gridCol w:w="601"/>
        <w:gridCol w:w="2956"/>
        <w:gridCol w:w="5389"/>
      </w:tblGrid>
      <w:tr>
        <w:tblPrEx>
          <w:tblCellMar>
            <w:top w:w="0" w:type="dxa"/>
            <w:left w:w="108" w:type="dxa"/>
            <w:bottom w:w="0" w:type="dxa"/>
            <w:right w:w="108" w:type="dxa"/>
          </w:tblCellMar>
        </w:tblPrEx>
        <w:trPr>
          <w:trHeight w:val="315" w:hRule="atLeast"/>
        </w:trPr>
        <w:tc>
          <w:tcPr>
            <w:tcW w:w="5000" w:type="pct"/>
            <w:gridSpan w:val="3"/>
            <w:tcBorders>
              <w:top w:val="single" w:color="auto" w:sz="4" w:space="0"/>
              <w:left w:val="single" w:color="auto" w:sz="4" w:space="0"/>
              <w:bottom w:val="single" w:color="auto" w:sz="4" w:space="0"/>
              <w:right w:val="single" w:color="000000" w:sz="4" w:space="0"/>
            </w:tcBorders>
            <w:vAlign w:val="center"/>
          </w:tcPr>
          <w:p>
            <w:pPr>
              <w:widowControl/>
              <w:spacing w:line="340" w:lineRule="exact"/>
              <w:jc w:val="left"/>
              <w:rPr>
                <w:rFonts w:ascii="宋体" w:hAnsi="宋体" w:cs="宋体"/>
                <w:kern w:val="0"/>
                <w:szCs w:val="21"/>
                <w:highlight w:val="none"/>
              </w:rPr>
            </w:pPr>
            <w:r>
              <w:rPr>
                <w:rFonts w:hint="eastAsia" w:ascii="宋体" w:hAnsi="宋体" w:cs="宋体"/>
                <w:kern w:val="0"/>
                <w:szCs w:val="21"/>
                <w:highlight w:val="none"/>
              </w:rPr>
              <w:t>（1）参考或依据的成品产品国家标准</w:t>
            </w:r>
          </w:p>
        </w:tc>
      </w:tr>
      <w:tr>
        <w:tblPrEx>
          <w:tblCellMar>
            <w:top w:w="0" w:type="dxa"/>
            <w:left w:w="108" w:type="dxa"/>
            <w:bottom w:w="0" w:type="dxa"/>
            <w:right w:w="108" w:type="dxa"/>
          </w:tblCellMar>
        </w:tblPrEx>
        <w:trPr>
          <w:trHeight w:val="315" w:hRule="atLeast"/>
        </w:trPr>
        <w:tc>
          <w:tcPr>
            <w:tcW w:w="336" w:type="pct"/>
            <w:tcBorders>
              <w:top w:val="nil"/>
              <w:left w:val="single" w:color="auto" w:sz="4" w:space="0"/>
              <w:bottom w:val="single" w:color="auto" w:sz="4" w:space="0"/>
              <w:right w:val="single" w:color="auto" w:sz="4" w:space="0"/>
            </w:tcBorders>
            <w:vAlign w:val="center"/>
          </w:tcPr>
          <w:p>
            <w:pPr>
              <w:widowControl/>
              <w:spacing w:line="340" w:lineRule="exact"/>
              <w:jc w:val="center"/>
              <w:rPr>
                <w:rFonts w:ascii="宋体" w:hAnsi="宋体" w:cs="宋体"/>
                <w:kern w:val="0"/>
                <w:szCs w:val="21"/>
                <w:highlight w:val="none"/>
              </w:rPr>
            </w:pPr>
            <w:r>
              <w:rPr>
                <w:rFonts w:hint="eastAsia" w:ascii="宋体" w:hAnsi="宋体" w:cs="宋体"/>
                <w:kern w:val="0"/>
                <w:szCs w:val="21"/>
                <w:highlight w:val="none"/>
              </w:rPr>
              <w:t>序号</w:t>
            </w:r>
          </w:p>
        </w:tc>
        <w:tc>
          <w:tcPr>
            <w:tcW w:w="1652" w:type="pct"/>
            <w:tcBorders>
              <w:top w:val="nil"/>
              <w:left w:val="nil"/>
              <w:bottom w:val="single" w:color="auto" w:sz="4" w:space="0"/>
              <w:right w:val="single" w:color="auto" w:sz="4" w:space="0"/>
            </w:tcBorders>
            <w:vAlign w:val="center"/>
          </w:tcPr>
          <w:p>
            <w:pPr>
              <w:widowControl/>
              <w:spacing w:line="340" w:lineRule="exact"/>
              <w:jc w:val="center"/>
              <w:rPr>
                <w:rFonts w:ascii="宋体" w:hAnsi="宋体" w:cs="宋体"/>
                <w:kern w:val="0"/>
                <w:szCs w:val="21"/>
                <w:highlight w:val="none"/>
              </w:rPr>
            </w:pPr>
            <w:r>
              <w:rPr>
                <w:rFonts w:hint="eastAsia" w:ascii="宋体" w:hAnsi="宋体" w:cs="宋体"/>
                <w:kern w:val="0"/>
                <w:szCs w:val="21"/>
                <w:highlight w:val="none"/>
              </w:rPr>
              <w:t>标准编号</w:t>
            </w:r>
          </w:p>
        </w:tc>
        <w:tc>
          <w:tcPr>
            <w:tcW w:w="3012" w:type="pct"/>
            <w:tcBorders>
              <w:top w:val="nil"/>
              <w:left w:val="nil"/>
              <w:bottom w:val="single" w:color="auto" w:sz="4" w:space="0"/>
              <w:right w:val="single" w:color="auto" w:sz="4" w:space="0"/>
            </w:tcBorders>
            <w:vAlign w:val="center"/>
          </w:tcPr>
          <w:p>
            <w:pPr>
              <w:widowControl/>
              <w:spacing w:line="340" w:lineRule="exact"/>
              <w:jc w:val="center"/>
              <w:rPr>
                <w:rFonts w:ascii="宋体" w:hAnsi="宋体" w:cs="宋体"/>
                <w:kern w:val="0"/>
                <w:szCs w:val="21"/>
                <w:highlight w:val="none"/>
              </w:rPr>
            </w:pPr>
            <w:r>
              <w:rPr>
                <w:rFonts w:hint="eastAsia" w:ascii="宋体" w:hAnsi="宋体" w:cs="宋体"/>
                <w:kern w:val="0"/>
                <w:szCs w:val="21"/>
                <w:highlight w:val="none"/>
              </w:rPr>
              <w:t>标准名称</w:t>
            </w:r>
          </w:p>
        </w:tc>
      </w:tr>
      <w:tr>
        <w:tblPrEx>
          <w:tblCellMar>
            <w:top w:w="0" w:type="dxa"/>
            <w:left w:w="108" w:type="dxa"/>
            <w:bottom w:w="0" w:type="dxa"/>
            <w:right w:w="108" w:type="dxa"/>
          </w:tblCellMar>
        </w:tblPrEx>
        <w:trPr>
          <w:trHeight w:val="315" w:hRule="atLeast"/>
        </w:trPr>
        <w:tc>
          <w:tcPr>
            <w:tcW w:w="336" w:type="pct"/>
            <w:tcBorders>
              <w:top w:val="nil"/>
              <w:left w:val="single" w:color="auto" w:sz="4" w:space="0"/>
              <w:bottom w:val="single" w:color="auto" w:sz="4" w:space="0"/>
              <w:right w:val="single" w:color="auto" w:sz="4" w:space="0"/>
            </w:tcBorders>
            <w:vAlign w:val="center"/>
          </w:tcPr>
          <w:p>
            <w:pPr>
              <w:widowControl/>
              <w:spacing w:line="340" w:lineRule="exact"/>
              <w:jc w:val="center"/>
              <w:rPr>
                <w:rFonts w:ascii="宋体" w:hAnsi="宋体" w:cs="宋体"/>
                <w:kern w:val="0"/>
                <w:szCs w:val="21"/>
                <w:highlight w:val="none"/>
              </w:rPr>
            </w:pPr>
            <w:r>
              <w:rPr>
                <w:rFonts w:hint="eastAsia" w:ascii="宋体" w:hAnsi="宋体" w:cs="宋体"/>
                <w:kern w:val="0"/>
                <w:szCs w:val="21"/>
                <w:highlight w:val="none"/>
              </w:rPr>
              <w:t>1</w:t>
            </w:r>
          </w:p>
        </w:tc>
        <w:tc>
          <w:tcPr>
            <w:tcW w:w="1652" w:type="pct"/>
            <w:tcBorders>
              <w:top w:val="nil"/>
              <w:left w:val="nil"/>
              <w:bottom w:val="single" w:color="auto" w:sz="4" w:space="0"/>
              <w:right w:val="single" w:color="auto" w:sz="4" w:space="0"/>
            </w:tcBorders>
            <w:vAlign w:val="center"/>
          </w:tcPr>
          <w:p>
            <w:pPr>
              <w:widowControl/>
              <w:spacing w:line="340" w:lineRule="exact"/>
              <w:jc w:val="center"/>
              <w:rPr>
                <w:rFonts w:ascii="宋体" w:hAnsi="宋体" w:cs="宋体"/>
                <w:kern w:val="0"/>
                <w:szCs w:val="21"/>
                <w:highlight w:val="none"/>
              </w:rPr>
            </w:pPr>
            <w:r>
              <w:rPr>
                <w:rFonts w:ascii="宋体" w:hAnsi="宋体" w:cs="宋体"/>
                <w:kern w:val="0"/>
                <w:szCs w:val="21"/>
                <w:highlight w:val="none"/>
              </w:rPr>
              <w:t>GB/T3324-2017</w:t>
            </w:r>
          </w:p>
        </w:tc>
        <w:tc>
          <w:tcPr>
            <w:tcW w:w="3012" w:type="pct"/>
            <w:tcBorders>
              <w:top w:val="nil"/>
              <w:left w:val="nil"/>
              <w:bottom w:val="single" w:color="auto" w:sz="4" w:space="0"/>
              <w:right w:val="single" w:color="auto" w:sz="4" w:space="0"/>
            </w:tcBorders>
            <w:vAlign w:val="center"/>
          </w:tcPr>
          <w:p>
            <w:pPr>
              <w:widowControl/>
              <w:spacing w:line="340" w:lineRule="exact"/>
              <w:jc w:val="center"/>
              <w:rPr>
                <w:rFonts w:ascii="宋体" w:hAnsi="宋体" w:cs="宋体"/>
                <w:kern w:val="0"/>
                <w:szCs w:val="21"/>
                <w:highlight w:val="none"/>
              </w:rPr>
            </w:pPr>
            <w:r>
              <w:rPr>
                <w:rFonts w:hint="eastAsia" w:ascii="宋体" w:hAnsi="宋体" w:cs="宋体"/>
                <w:kern w:val="0"/>
                <w:szCs w:val="21"/>
                <w:highlight w:val="none"/>
              </w:rPr>
              <w:t>木家具通用技术条件</w:t>
            </w:r>
          </w:p>
        </w:tc>
      </w:tr>
      <w:tr>
        <w:tblPrEx>
          <w:tblCellMar>
            <w:top w:w="0" w:type="dxa"/>
            <w:left w:w="108" w:type="dxa"/>
            <w:bottom w:w="0" w:type="dxa"/>
            <w:right w:w="108" w:type="dxa"/>
          </w:tblCellMar>
        </w:tblPrEx>
        <w:trPr>
          <w:trHeight w:val="315" w:hRule="atLeast"/>
        </w:trPr>
        <w:tc>
          <w:tcPr>
            <w:tcW w:w="336" w:type="pct"/>
            <w:tcBorders>
              <w:top w:val="nil"/>
              <w:left w:val="single" w:color="auto" w:sz="4" w:space="0"/>
              <w:bottom w:val="single" w:color="auto" w:sz="4" w:space="0"/>
              <w:right w:val="single" w:color="auto" w:sz="4" w:space="0"/>
            </w:tcBorders>
            <w:vAlign w:val="center"/>
          </w:tcPr>
          <w:p>
            <w:pPr>
              <w:widowControl/>
              <w:spacing w:line="340" w:lineRule="exact"/>
              <w:jc w:val="center"/>
              <w:rPr>
                <w:rFonts w:ascii="宋体" w:hAnsi="宋体" w:cs="宋体"/>
                <w:kern w:val="0"/>
                <w:szCs w:val="21"/>
                <w:highlight w:val="none"/>
              </w:rPr>
            </w:pPr>
            <w:r>
              <w:rPr>
                <w:rFonts w:hint="eastAsia" w:ascii="宋体" w:hAnsi="宋体" w:cs="宋体"/>
                <w:kern w:val="0"/>
                <w:szCs w:val="21"/>
                <w:highlight w:val="none"/>
              </w:rPr>
              <w:t>2</w:t>
            </w:r>
          </w:p>
        </w:tc>
        <w:tc>
          <w:tcPr>
            <w:tcW w:w="1652" w:type="pct"/>
            <w:tcBorders>
              <w:top w:val="nil"/>
              <w:left w:val="nil"/>
              <w:bottom w:val="single" w:color="auto" w:sz="4" w:space="0"/>
              <w:right w:val="single" w:color="auto" w:sz="4" w:space="0"/>
            </w:tcBorders>
            <w:vAlign w:val="center"/>
          </w:tcPr>
          <w:p>
            <w:pPr>
              <w:widowControl/>
              <w:spacing w:line="340" w:lineRule="exact"/>
              <w:jc w:val="center"/>
              <w:rPr>
                <w:rFonts w:ascii="宋体" w:hAnsi="宋体" w:cs="宋体"/>
                <w:kern w:val="0"/>
                <w:szCs w:val="21"/>
                <w:highlight w:val="none"/>
              </w:rPr>
            </w:pPr>
            <w:r>
              <w:rPr>
                <w:rFonts w:ascii="宋体" w:hAnsi="宋体" w:cs="宋体"/>
                <w:kern w:val="0"/>
                <w:szCs w:val="21"/>
                <w:highlight w:val="none"/>
              </w:rPr>
              <w:t>GB/T3325-2017</w:t>
            </w:r>
          </w:p>
        </w:tc>
        <w:tc>
          <w:tcPr>
            <w:tcW w:w="3012" w:type="pct"/>
            <w:tcBorders>
              <w:top w:val="nil"/>
              <w:left w:val="nil"/>
              <w:bottom w:val="single" w:color="auto" w:sz="4" w:space="0"/>
              <w:right w:val="single" w:color="auto" w:sz="4" w:space="0"/>
            </w:tcBorders>
            <w:vAlign w:val="center"/>
          </w:tcPr>
          <w:p>
            <w:pPr>
              <w:widowControl/>
              <w:spacing w:line="340" w:lineRule="exact"/>
              <w:jc w:val="center"/>
              <w:rPr>
                <w:rFonts w:ascii="宋体" w:hAnsi="宋体" w:cs="宋体"/>
                <w:kern w:val="0"/>
                <w:szCs w:val="21"/>
                <w:highlight w:val="none"/>
              </w:rPr>
            </w:pPr>
            <w:r>
              <w:rPr>
                <w:rFonts w:hint="eastAsia" w:ascii="宋体" w:hAnsi="宋体" w:cs="宋体"/>
                <w:kern w:val="0"/>
                <w:szCs w:val="21"/>
                <w:highlight w:val="none"/>
              </w:rPr>
              <w:t>金属家具通用技术条件</w:t>
            </w:r>
          </w:p>
        </w:tc>
      </w:tr>
      <w:tr>
        <w:tblPrEx>
          <w:tblCellMar>
            <w:top w:w="0" w:type="dxa"/>
            <w:left w:w="108" w:type="dxa"/>
            <w:bottom w:w="0" w:type="dxa"/>
            <w:right w:w="108" w:type="dxa"/>
          </w:tblCellMar>
        </w:tblPrEx>
        <w:trPr>
          <w:trHeight w:val="315" w:hRule="atLeast"/>
        </w:trPr>
        <w:tc>
          <w:tcPr>
            <w:tcW w:w="336" w:type="pct"/>
            <w:tcBorders>
              <w:top w:val="nil"/>
              <w:left w:val="single" w:color="auto" w:sz="4" w:space="0"/>
              <w:bottom w:val="single" w:color="auto" w:sz="4" w:space="0"/>
              <w:right w:val="single" w:color="auto" w:sz="4" w:space="0"/>
            </w:tcBorders>
            <w:vAlign w:val="center"/>
          </w:tcPr>
          <w:p>
            <w:pPr>
              <w:widowControl/>
              <w:spacing w:line="340" w:lineRule="exact"/>
              <w:jc w:val="center"/>
              <w:rPr>
                <w:rFonts w:ascii="宋体" w:hAnsi="宋体" w:cs="宋体"/>
                <w:kern w:val="0"/>
                <w:szCs w:val="21"/>
                <w:highlight w:val="none"/>
              </w:rPr>
            </w:pPr>
            <w:r>
              <w:rPr>
                <w:rFonts w:hint="eastAsia" w:ascii="宋体" w:hAnsi="宋体" w:cs="宋体"/>
                <w:kern w:val="0"/>
                <w:szCs w:val="21"/>
                <w:highlight w:val="none"/>
              </w:rPr>
              <w:t>3</w:t>
            </w:r>
          </w:p>
        </w:tc>
        <w:tc>
          <w:tcPr>
            <w:tcW w:w="1652" w:type="pct"/>
            <w:tcBorders>
              <w:top w:val="nil"/>
              <w:left w:val="nil"/>
              <w:bottom w:val="single" w:color="auto" w:sz="4" w:space="0"/>
              <w:right w:val="single" w:color="auto" w:sz="4" w:space="0"/>
            </w:tcBorders>
            <w:vAlign w:val="center"/>
          </w:tcPr>
          <w:p>
            <w:pPr>
              <w:widowControl/>
              <w:spacing w:line="340" w:lineRule="exact"/>
              <w:jc w:val="center"/>
              <w:rPr>
                <w:rFonts w:ascii="宋体" w:hAnsi="宋体" w:cs="宋体"/>
                <w:kern w:val="0"/>
                <w:szCs w:val="21"/>
                <w:highlight w:val="none"/>
              </w:rPr>
            </w:pPr>
            <w:r>
              <w:rPr>
                <w:rFonts w:hint="eastAsia" w:ascii="宋体" w:hAnsi="宋体" w:cs="宋体"/>
                <w:kern w:val="0"/>
                <w:szCs w:val="21"/>
                <w:highlight w:val="none"/>
              </w:rPr>
              <w:t>GB4893.1~4893.9</w:t>
            </w:r>
          </w:p>
        </w:tc>
        <w:tc>
          <w:tcPr>
            <w:tcW w:w="3012" w:type="pct"/>
            <w:tcBorders>
              <w:top w:val="nil"/>
              <w:left w:val="nil"/>
              <w:bottom w:val="single" w:color="auto" w:sz="4" w:space="0"/>
              <w:right w:val="single" w:color="auto" w:sz="4" w:space="0"/>
            </w:tcBorders>
            <w:vAlign w:val="center"/>
          </w:tcPr>
          <w:p>
            <w:pPr>
              <w:widowControl/>
              <w:spacing w:line="340" w:lineRule="exact"/>
              <w:jc w:val="center"/>
              <w:rPr>
                <w:rFonts w:ascii="宋体" w:hAnsi="宋体" w:cs="宋体"/>
                <w:kern w:val="0"/>
                <w:szCs w:val="21"/>
                <w:highlight w:val="none"/>
              </w:rPr>
            </w:pPr>
            <w:r>
              <w:rPr>
                <w:rFonts w:hint="eastAsia" w:ascii="宋体" w:hAnsi="宋体" w:cs="宋体"/>
                <w:kern w:val="0"/>
                <w:szCs w:val="21"/>
                <w:highlight w:val="none"/>
              </w:rPr>
              <w:t>家具表面漆膜测定法</w:t>
            </w:r>
          </w:p>
        </w:tc>
      </w:tr>
      <w:tr>
        <w:tblPrEx>
          <w:tblCellMar>
            <w:top w:w="0" w:type="dxa"/>
            <w:left w:w="108" w:type="dxa"/>
            <w:bottom w:w="0" w:type="dxa"/>
            <w:right w:w="108" w:type="dxa"/>
          </w:tblCellMar>
        </w:tblPrEx>
        <w:trPr>
          <w:trHeight w:val="315" w:hRule="atLeast"/>
        </w:trPr>
        <w:tc>
          <w:tcPr>
            <w:tcW w:w="336" w:type="pct"/>
            <w:tcBorders>
              <w:top w:val="nil"/>
              <w:left w:val="single" w:color="auto" w:sz="4" w:space="0"/>
              <w:bottom w:val="single" w:color="auto" w:sz="4" w:space="0"/>
              <w:right w:val="single" w:color="auto" w:sz="4" w:space="0"/>
            </w:tcBorders>
            <w:vAlign w:val="center"/>
          </w:tcPr>
          <w:p>
            <w:pPr>
              <w:widowControl/>
              <w:spacing w:line="340" w:lineRule="exact"/>
              <w:jc w:val="center"/>
              <w:rPr>
                <w:rFonts w:ascii="宋体" w:hAnsi="宋体" w:cs="宋体"/>
                <w:kern w:val="0"/>
                <w:szCs w:val="21"/>
                <w:highlight w:val="none"/>
              </w:rPr>
            </w:pPr>
            <w:r>
              <w:rPr>
                <w:rFonts w:hint="eastAsia" w:ascii="宋体" w:hAnsi="宋体" w:cs="宋体"/>
                <w:kern w:val="0"/>
                <w:szCs w:val="21"/>
                <w:highlight w:val="none"/>
              </w:rPr>
              <w:t>4</w:t>
            </w:r>
          </w:p>
        </w:tc>
        <w:tc>
          <w:tcPr>
            <w:tcW w:w="1652" w:type="pct"/>
            <w:tcBorders>
              <w:top w:val="nil"/>
              <w:left w:val="nil"/>
              <w:bottom w:val="single" w:color="auto" w:sz="4" w:space="0"/>
              <w:right w:val="single" w:color="auto" w:sz="4" w:space="0"/>
            </w:tcBorders>
            <w:vAlign w:val="center"/>
          </w:tcPr>
          <w:p>
            <w:pPr>
              <w:widowControl/>
              <w:spacing w:line="340" w:lineRule="exact"/>
              <w:jc w:val="center"/>
              <w:rPr>
                <w:rFonts w:ascii="宋体" w:hAnsi="宋体" w:cs="宋体"/>
                <w:kern w:val="0"/>
                <w:szCs w:val="21"/>
                <w:highlight w:val="none"/>
              </w:rPr>
            </w:pPr>
            <w:r>
              <w:rPr>
                <w:rFonts w:hint="eastAsia" w:ascii="宋体" w:hAnsi="宋体" w:cs="宋体"/>
                <w:kern w:val="0"/>
                <w:szCs w:val="21"/>
                <w:highlight w:val="none"/>
              </w:rPr>
              <w:t>GB/T10357.1~10357.7</w:t>
            </w:r>
          </w:p>
        </w:tc>
        <w:tc>
          <w:tcPr>
            <w:tcW w:w="3012" w:type="pct"/>
            <w:tcBorders>
              <w:top w:val="nil"/>
              <w:left w:val="nil"/>
              <w:bottom w:val="single" w:color="auto" w:sz="4" w:space="0"/>
              <w:right w:val="single" w:color="auto" w:sz="4" w:space="0"/>
            </w:tcBorders>
            <w:vAlign w:val="center"/>
          </w:tcPr>
          <w:p>
            <w:pPr>
              <w:widowControl/>
              <w:spacing w:line="340" w:lineRule="exact"/>
              <w:jc w:val="center"/>
              <w:rPr>
                <w:rFonts w:ascii="宋体" w:hAnsi="宋体" w:cs="宋体"/>
                <w:kern w:val="0"/>
                <w:szCs w:val="21"/>
                <w:highlight w:val="none"/>
              </w:rPr>
            </w:pPr>
            <w:r>
              <w:rPr>
                <w:rFonts w:hint="eastAsia" w:ascii="宋体" w:hAnsi="宋体" w:cs="宋体"/>
                <w:kern w:val="0"/>
                <w:szCs w:val="21"/>
                <w:highlight w:val="none"/>
              </w:rPr>
              <w:t>家具力学性能试验</w:t>
            </w:r>
          </w:p>
        </w:tc>
      </w:tr>
      <w:tr>
        <w:tblPrEx>
          <w:tblCellMar>
            <w:top w:w="0" w:type="dxa"/>
            <w:left w:w="108" w:type="dxa"/>
            <w:bottom w:w="0" w:type="dxa"/>
            <w:right w:w="108" w:type="dxa"/>
          </w:tblCellMar>
        </w:tblPrEx>
        <w:trPr>
          <w:trHeight w:val="315" w:hRule="atLeast"/>
        </w:trPr>
        <w:tc>
          <w:tcPr>
            <w:tcW w:w="336" w:type="pct"/>
            <w:tcBorders>
              <w:top w:val="nil"/>
              <w:left w:val="single" w:color="auto" w:sz="4" w:space="0"/>
              <w:bottom w:val="single" w:color="auto" w:sz="4" w:space="0"/>
              <w:right w:val="single" w:color="auto" w:sz="4" w:space="0"/>
            </w:tcBorders>
            <w:vAlign w:val="center"/>
          </w:tcPr>
          <w:p>
            <w:pPr>
              <w:widowControl/>
              <w:spacing w:line="340" w:lineRule="exact"/>
              <w:jc w:val="center"/>
              <w:rPr>
                <w:rFonts w:ascii="宋体" w:hAnsi="宋体" w:cs="宋体"/>
                <w:kern w:val="0"/>
                <w:szCs w:val="21"/>
                <w:highlight w:val="none"/>
              </w:rPr>
            </w:pPr>
            <w:r>
              <w:rPr>
                <w:rFonts w:hint="eastAsia" w:ascii="宋体" w:hAnsi="宋体" w:cs="宋体"/>
                <w:kern w:val="0"/>
                <w:szCs w:val="21"/>
                <w:highlight w:val="none"/>
              </w:rPr>
              <w:t>5</w:t>
            </w:r>
          </w:p>
        </w:tc>
        <w:tc>
          <w:tcPr>
            <w:tcW w:w="1652" w:type="pct"/>
            <w:tcBorders>
              <w:top w:val="nil"/>
              <w:left w:val="nil"/>
              <w:bottom w:val="single" w:color="auto" w:sz="4" w:space="0"/>
              <w:right w:val="single" w:color="auto" w:sz="4" w:space="0"/>
            </w:tcBorders>
            <w:vAlign w:val="center"/>
          </w:tcPr>
          <w:p>
            <w:pPr>
              <w:widowControl/>
              <w:spacing w:line="340" w:lineRule="exact"/>
              <w:jc w:val="center"/>
              <w:rPr>
                <w:rFonts w:ascii="宋体" w:hAnsi="宋体" w:cs="宋体"/>
                <w:kern w:val="0"/>
                <w:szCs w:val="21"/>
                <w:highlight w:val="none"/>
              </w:rPr>
            </w:pPr>
            <w:r>
              <w:rPr>
                <w:rFonts w:hint="eastAsia" w:ascii="宋体" w:hAnsi="宋体" w:cs="宋体"/>
                <w:kern w:val="0"/>
                <w:szCs w:val="21"/>
                <w:highlight w:val="none"/>
              </w:rPr>
              <w:t>GB18584-2001</w:t>
            </w:r>
          </w:p>
        </w:tc>
        <w:tc>
          <w:tcPr>
            <w:tcW w:w="3012" w:type="pct"/>
            <w:tcBorders>
              <w:top w:val="nil"/>
              <w:left w:val="nil"/>
              <w:bottom w:val="single" w:color="auto" w:sz="4" w:space="0"/>
              <w:right w:val="single" w:color="auto" w:sz="4" w:space="0"/>
            </w:tcBorders>
            <w:vAlign w:val="center"/>
          </w:tcPr>
          <w:p>
            <w:pPr>
              <w:widowControl/>
              <w:spacing w:line="340" w:lineRule="exact"/>
              <w:jc w:val="center"/>
              <w:rPr>
                <w:rFonts w:ascii="宋体" w:hAnsi="宋体" w:cs="宋体"/>
                <w:kern w:val="0"/>
                <w:szCs w:val="21"/>
                <w:highlight w:val="none"/>
              </w:rPr>
            </w:pPr>
            <w:r>
              <w:rPr>
                <w:rFonts w:hint="eastAsia" w:ascii="宋体" w:hAnsi="宋体" w:cs="宋体"/>
                <w:kern w:val="0"/>
                <w:szCs w:val="21"/>
                <w:highlight w:val="none"/>
              </w:rPr>
              <w:t>室内装饰装修材料  木家具中有害物质限量</w:t>
            </w:r>
          </w:p>
        </w:tc>
      </w:tr>
      <w:tr>
        <w:tblPrEx>
          <w:tblCellMar>
            <w:top w:w="0" w:type="dxa"/>
            <w:left w:w="108" w:type="dxa"/>
            <w:bottom w:w="0" w:type="dxa"/>
            <w:right w:w="108" w:type="dxa"/>
          </w:tblCellMar>
        </w:tblPrEx>
        <w:trPr>
          <w:trHeight w:val="315" w:hRule="atLeast"/>
        </w:trPr>
        <w:tc>
          <w:tcPr>
            <w:tcW w:w="5000" w:type="pct"/>
            <w:gridSpan w:val="3"/>
            <w:tcBorders>
              <w:top w:val="single" w:color="auto" w:sz="4" w:space="0"/>
              <w:left w:val="single" w:color="auto" w:sz="4" w:space="0"/>
              <w:bottom w:val="single" w:color="auto" w:sz="4" w:space="0"/>
              <w:right w:val="single" w:color="000000" w:sz="4" w:space="0"/>
            </w:tcBorders>
            <w:vAlign w:val="center"/>
          </w:tcPr>
          <w:p>
            <w:pPr>
              <w:widowControl/>
              <w:spacing w:line="340" w:lineRule="exact"/>
              <w:jc w:val="left"/>
              <w:rPr>
                <w:rFonts w:ascii="宋体" w:hAnsi="宋体" w:cs="宋体"/>
                <w:kern w:val="0"/>
                <w:szCs w:val="21"/>
                <w:highlight w:val="none"/>
              </w:rPr>
            </w:pPr>
            <w:r>
              <w:rPr>
                <w:rFonts w:hint="eastAsia" w:ascii="宋体" w:hAnsi="宋体" w:cs="宋体"/>
                <w:kern w:val="0"/>
                <w:szCs w:val="21"/>
                <w:highlight w:val="none"/>
              </w:rPr>
              <w:t>（2）参考或依据的成品产品行业标准</w:t>
            </w:r>
          </w:p>
        </w:tc>
      </w:tr>
      <w:tr>
        <w:tblPrEx>
          <w:tblCellMar>
            <w:top w:w="0" w:type="dxa"/>
            <w:left w:w="108" w:type="dxa"/>
            <w:bottom w:w="0" w:type="dxa"/>
            <w:right w:w="108" w:type="dxa"/>
          </w:tblCellMar>
        </w:tblPrEx>
        <w:trPr>
          <w:trHeight w:val="315" w:hRule="atLeast"/>
        </w:trPr>
        <w:tc>
          <w:tcPr>
            <w:tcW w:w="336" w:type="pct"/>
            <w:tcBorders>
              <w:top w:val="nil"/>
              <w:left w:val="single" w:color="auto" w:sz="4" w:space="0"/>
              <w:bottom w:val="single" w:color="auto" w:sz="4" w:space="0"/>
              <w:right w:val="single" w:color="auto" w:sz="4" w:space="0"/>
            </w:tcBorders>
            <w:vAlign w:val="center"/>
          </w:tcPr>
          <w:p>
            <w:pPr>
              <w:widowControl/>
              <w:spacing w:line="340" w:lineRule="exact"/>
              <w:jc w:val="center"/>
              <w:rPr>
                <w:rFonts w:ascii="宋体" w:hAnsi="宋体" w:cs="宋体"/>
                <w:kern w:val="0"/>
                <w:szCs w:val="21"/>
                <w:highlight w:val="none"/>
              </w:rPr>
            </w:pPr>
            <w:r>
              <w:rPr>
                <w:rFonts w:hint="eastAsia" w:ascii="宋体" w:hAnsi="宋体" w:cs="宋体"/>
                <w:kern w:val="0"/>
                <w:szCs w:val="21"/>
                <w:highlight w:val="none"/>
              </w:rPr>
              <w:t>序号</w:t>
            </w:r>
          </w:p>
        </w:tc>
        <w:tc>
          <w:tcPr>
            <w:tcW w:w="1652" w:type="pct"/>
            <w:tcBorders>
              <w:top w:val="nil"/>
              <w:left w:val="nil"/>
              <w:bottom w:val="single" w:color="auto" w:sz="4" w:space="0"/>
              <w:right w:val="single" w:color="auto" w:sz="4" w:space="0"/>
            </w:tcBorders>
            <w:vAlign w:val="center"/>
          </w:tcPr>
          <w:p>
            <w:pPr>
              <w:widowControl/>
              <w:spacing w:line="340" w:lineRule="exact"/>
              <w:jc w:val="center"/>
              <w:rPr>
                <w:rFonts w:ascii="宋体" w:hAnsi="宋体" w:cs="宋体"/>
                <w:kern w:val="0"/>
                <w:szCs w:val="21"/>
                <w:highlight w:val="none"/>
              </w:rPr>
            </w:pPr>
            <w:r>
              <w:rPr>
                <w:rFonts w:hint="eastAsia" w:ascii="宋体" w:hAnsi="宋体" w:cs="宋体"/>
                <w:kern w:val="0"/>
                <w:szCs w:val="21"/>
                <w:highlight w:val="none"/>
              </w:rPr>
              <w:t>标准编号</w:t>
            </w:r>
          </w:p>
        </w:tc>
        <w:tc>
          <w:tcPr>
            <w:tcW w:w="3012" w:type="pct"/>
            <w:tcBorders>
              <w:top w:val="nil"/>
              <w:left w:val="nil"/>
              <w:bottom w:val="single" w:color="auto" w:sz="4" w:space="0"/>
              <w:right w:val="single" w:color="auto" w:sz="4" w:space="0"/>
            </w:tcBorders>
            <w:vAlign w:val="center"/>
          </w:tcPr>
          <w:p>
            <w:pPr>
              <w:widowControl/>
              <w:spacing w:line="340" w:lineRule="exact"/>
              <w:jc w:val="center"/>
              <w:rPr>
                <w:rFonts w:ascii="宋体" w:hAnsi="宋体" w:cs="宋体"/>
                <w:kern w:val="0"/>
                <w:szCs w:val="21"/>
                <w:highlight w:val="none"/>
              </w:rPr>
            </w:pPr>
            <w:r>
              <w:rPr>
                <w:rFonts w:hint="eastAsia" w:ascii="宋体" w:hAnsi="宋体" w:cs="宋体"/>
                <w:kern w:val="0"/>
                <w:szCs w:val="21"/>
                <w:highlight w:val="none"/>
              </w:rPr>
              <w:t>标准名称</w:t>
            </w:r>
          </w:p>
        </w:tc>
      </w:tr>
      <w:tr>
        <w:tblPrEx>
          <w:tblCellMar>
            <w:top w:w="0" w:type="dxa"/>
            <w:left w:w="108" w:type="dxa"/>
            <w:bottom w:w="0" w:type="dxa"/>
            <w:right w:w="108" w:type="dxa"/>
          </w:tblCellMar>
        </w:tblPrEx>
        <w:trPr>
          <w:trHeight w:val="315" w:hRule="atLeast"/>
        </w:trPr>
        <w:tc>
          <w:tcPr>
            <w:tcW w:w="336" w:type="pct"/>
            <w:tcBorders>
              <w:top w:val="nil"/>
              <w:left w:val="single" w:color="auto" w:sz="4" w:space="0"/>
              <w:bottom w:val="single" w:color="auto" w:sz="4" w:space="0"/>
              <w:right w:val="single" w:color="auto" w:sz="4" w:space="0"/>
            </w:tcBorders>
            <w:vAlign w:val="center"/>
          </w:tcPr>
          <w:p>
            <w:pPr>
              <w:widowControl/>
              <w:spacing w:line="340" w:lineRule="exact"/>
              <w:jc w:val="center"/>
              <w:rPr>
                <w:rFonts w:ascii="宋体" w:hAnsi="宋体" w:cs="宋体"/>
                <w:kern w:val="0"/>
                <w:szCs w:val="21"/>
                <w:highlight w:val="none"/>
              </w:rPr>
            </w:pPr>
            <w:r>
              <w:rPr>
                <w:rFonts w:hint="eastAsia" w:ascii="宋体" w:hAnsi="宋体" w:cs="宋体"/>
                <w:kern w:val="0"/>
                <w:szCs w:val="21"/>
                <w:highlight w:val="none"/>
              </w:rPr>
              <w:t>1</w:t>
            </w:r>
          </w:p>
        </w:tc>
        <w:tc>
          <w:tcPr>
            <w:tcW w:w="1652" w:type="pct"/>
            <w:tcBorders>
              <w:top w:val="nil"/>
              <w:left w:val="nil"/>
              <w:bottom w:val="single" w:color="auto" w:sz="4" w:space="0"/>
              <w:right w:val="single" w:color="auto" w:sz="4" w:space="0"/>
            </w:tcBorders>
            <w:vAlign w:val="center"/>
          </w:tcPr>
          <w:p>
            <w:pPr>
              <w:widowControl/>
              <w:spacing w:line="340" w:lineRule="exact"/>
              <w:jc w:val="center"/>
              <w:rPr>
                <w:rFonts w:ascii="宋体" w:hAnsi="宋体" w:cs="宋体"/>
                <w:kern w:val="0"/>
                <w:szCs w:val="21"/>
                <w:highlight w:val="none"/>
              </w:rPr>
            </w:pPr>
            <w:r>
              <w:rPr>
                <w:rFonts w:ascii="宋体" w:hAnsi="宋体" w:cs="宋体"/>
                <w:kern w:val="0"/>
                <w:szCs w:val="21"/>
                <w:highlight w:val="none"/>
              </w:rPr>
              <w:t>QB/T 1951.1-2010</w:t>
            </w:r>
          </w:p>
        </w:tc>
        <w:tc>
          <w:tcPr>
            <w:tcW w:w="3012" w:type="pct"/>
            <w:tcBorders>
              <w:top w:val="nil"/>
              <w:left w:val="nil"/>
              <w:bottom w:val="single" w:color="auto" w:sz="4" w:space="0"/>
              <w:right w:val="single" w:color="auto" w:sz="4" w:space="0"/>
            </w:tcBorders>
            <w:vAlign w:val="center"/>
          </w:tcPr>
          <w:p>
            <w:pPr>
              <w:widowControl/>
              <w:spacing w:line="340" w:lineRule="exact"/>
              <w:jc w:val="center"/>
              <w:rPr>
                <w:rFonts w:ascii="宋体" w:hAnsi="宋体" w:cs="宋体"/>
                <w:kern w:val="0"/>
                <w:szCs w:val="21"/>
                <w:highlight w:val="none"/>
              </w:rPr>
            </w:pPr>
            <w:r>
              <w:rPr>
                <w:rFonts w:hint="eastAsia" w:ascii="宋体" w:hAnsi="宋体" w:cs="宋体"/>
                <w:kern w:val="0"/>
                <w:szCs w:val="21"/>
                <w:highlight w:val="none"/>
              </w:rPr>
              <w:t>木家具  质量检验及质量评定</w:t>
            </w:r>
          </w:p>
        </w:tc>
      </w:tr>
      <w:tr>
        <w:tblPrEx>
          <w:tblCellMar>
            <w:top w:w="0" w:type="dxa"/>
            <w:left w:w="108" w:type="dxa"/>
            <w:bottom w:w="0" w:type="dxa"/>
            <w:right w:w="108" w:type="dxa"/>
          </w:tblCellMar>
        </w:tblPrEx>
        <w:trPr>
          <w:trHeight w:val="315" w:hRule="atLeast"/>
        </w:trPr>
        <w:tc>
          <w:tcPr>
            <w:tcW w:w="336" w:type="pct"/>
            <w:tcBorders>
              <w:top w:val="nil"/>
              <w:left w:val="single" w:color="auto" w:sz="4" w:space="0"/>
              <w:bottom w:val="single" w:color="auto" w:sz="4" w:space="0"/>
              <w:right w:val="single" w:color="auto" w:sz="4" w:space="0"/>
            </w:tcBorders>
            <w:vAlign w:val="center"/>
          </w:tcPr>
          <w:p>
            <w:pPr>
              <w:widowControl/>
              <w:spacing w:line="340" w:lineRule="exact"/>
              <w:jc w:val="center"/>
              <w:rPr>
                <w:rFonts w:ascii="宋体" w:hAnsi="宋体" w:cs="宋体"/>
                <w:kern w:val="0"/>
                <w:szCs w:val="21"/>
                <w:highlight w:val="none"/>
              </w:rPr>
            </w:pPr>
            <w:r>
              <w:rPr>
                <w:rFonts w:hint="eastAsia" w:ascii="宋体" w:hAnsi="宋体" w:cs="宋体"/>
                <w:kern w:val="0"/>
                <w:szCs w:val="21"/>
                <w:highlight w:val="none"/>
              </w:rPr>
              <w:t>2</w:t>
            </w:r>
          </w:p>
        </w:tc>
        <w:tc>
          <w:tcPr>
            <w:tcW w:w="1652" w:type="pct"/>
            <w:tcBorders>
              <w:top w:val="nil"/>
              <w:left w:val="nil"/>
              <w:bottom w:val="single" w:color="auto" w:sz="4" w:space="0"/>
              <w:right w:val="single" w:color="auto" w:sz="4" w:space="0"/>
            </w:tcBorders>
            <w:vAlign w:val="center"/>
          </w:tcPr>
          <w:p>
            <w:pPr>
              <w:widowControl/>
              <w:spacing w:line="340" w:lineRule="exact"/>
              <w:jc w:val="center"/>
              <w:rPr>
                <w:rFonts w:ascii="宋体" w:hAnsi="宋体" w:cs="宋体"/>
                <w:kern w:val="0"/>
                <w:szCs w:val="21"/>
                <w:highlight w:val="none"/>
              </w:rPr>
            </w:pPr>
            <w:r>
              <w:rPr>
                <w:rFonts w:ascii="宋体" w:hAnsi="宋体" w:cs="宋体"/>
                <w:kern w:val="0"/>
                <w:szCs w:val="21"/>
                <w:highlight w:val="none"/>
              </w:rPr>
              <w:t>QB/T 1951.2-2013</w:t>
            </w:r>
          </w:p>
        </w:tc>
        <w:tc>
          <w:tcPr>
            <w:tcW w:w="3012" w:type="pct"/>
            <w:tcBorders>
              <w:top w:val="nil"/>
              <w:left w:val="nil"/>
              <w:bottom w:val="single" w:color="auto" w:sz="4" w:space="0"/>
              <w:right w:val="single" w:color="auto" w:sz="4" w:space="0"/>
            </w:tcBorders>
            <w:vAlign w:val="center"/>
          </w:tcPr>
          <w:p>
            <w:pPr>
              <w:widowControl/>
              <w:spacing w:line="340" w:lineRule="exact"/>
              <w:jc w:val="center"/>
              <w:rPr>
                <w:rFonts w:ascii="宋体" w:hAnsi="宋体" w:cs="宋体"/>
                <w:kern w:val="0"/>
                <w:szCs w:val="21"/>
                <w:highlight w:val="none"/>
              </w:rPr>
            </w:pPr>
            <w:r>
              <w:rPr>
                <w:rFonts w:hint="eastAsia" w:ascii="宋体" w:hAnsi="宋体" w:cs="宋体"/>
                <w:kern w:val="0"/>
                <w:szCs w:val="21"/>
                <w:highlight w:val="none"/>
              </w:rPr>
              <w:t>金属家具  质量检验及质量评定</w:t>
            </w:r>
          </w:p>
        </w:tc>
      </w:tr>
      <w:tr>
        <w:tblPrEx>
          <w:tblCellMar>
            <w:top w:w="0" w:type="dxa"/>
            <w:left w:w="108" w:type="dxa"/>
            <w:bottom w:w="0" w:type="dxa"/>
            <w:right w:w="108" w:type="dxa"/>
          </w:tblCellMar>
        </w:tblPrEx>
        <w:trPr>
          <w:trHeight w:val="315" w:hRule="atLeast"/>
        </w:trPr>
        <w:tc>
          <w:tcPr>
            <w:tcW w:w="336" w:type="pct"/>
            <w:tcBorders>
              <w:top w:val="nil"/>
              <w:left w:val="single" w:color="auto" w:sz="4" w:space="0"/>
              <w:bottom w:val="single" w:color="auto" w:sz="4" w:space="0"/>
              <w:right w:val="single" w:color="auto" w:sz="4" w:space="0"/>
            </w:tcBorders>
            <w:vAlign w:val="center"/>
          </w:tcPr>
          <w:p>
            <w:pPr>
              <w:widowControl/>
              <w:spacing w:line="340" w:lineRule="exact"/>
              <w:jc w:val="center"/>
              <w:rPr>
                <w:rFonts w:ascii="宋体" w:hAnsi="宋体" w:cs="宋体"/>
                <w:kern w:val="0"/>
                <w:szCs w:val="21"/>
                <w:highlight w:val="none"/>
              </w:rPr>
            </w:pPr>
            <w:r>
              <w:rPr>
                <w:rFonts w:hint="eastAsia" w:ascii="宋体" w:hAnsi="宋体" w:cs="宋体"/>
                <w:kern w:val="0"/>
                <w:szCs w:val="21"/>
                <w:highlight w:val="none"/>
              </w:rPr>
              <w:t>3</w:t>
            </w:r>
          </w:p>
        </w:tc>
        <w:tc>
          <w:tcPr>
            <w:tcW w:w="1652" w:type="pct"/>
            <w:tcBorders>
              <w:top w:val="nil"/>
              <w:left w:val="nil"/>
              <w:bottom w:val="single" w:color="auto" w:sz="4" w:space="0"/>
              <w:right w:val="single" w:color="auto" w:sz="4" w:space="0"/>
            </w:tcBorders>
            <w:vAlign w:val="center"/>
          </w:tcPr>
          <w:p>
            <w:pPr>
              <w:widowControl/>
              <w:spacing w:line="340" w:lineRule="exact"/>
              <w:jc w:val="center"/>
              <w:rPr>
                <w:rFonts w:ascii="宋体" w:hAnsi="宋体" w:cs="宋体"/>
                <w:kern w:val="0"/>
                <w:szCs w:val="21"/>
                <w:highlight w:val="none"/>
              </w:rPr>
            </w:pPr>
            <w:r>
              <w:rPr>
                <w:rFonts w:ascii="宋体" w:hAnsi="宋体" w:cs="宋体"/>
                <w:kern w:val="0"/>
                <w:szCs w:val="21"/>
                <w:highlight w:val="none"/>
              </w:rPr>
              <w:t>QB/T 2384-2021</w:t>
            </w:r>
          </w:p>
        </w:tc>
        <w:tc>
          <w:tcPr>
            <w:tcW w:w="3012" w:type="pct"/>
            <w:tcBorders>
              <w:top w:val="nil"/>
              <w:left w:val="nil"/>
              <w:bottom w:val="single" w:color="auto" w:sz="4" w:space="0"/>
              <w:right w:val="single" w:color="auto" w:sz="4" w:space="0"/>
            </w:tcBorders>
            <w:vAlign w:val="center"/>
          </w:tcPr>
          <w:p>
            <w:pPr>
              <w:widowControl/>
              <w:spacing w:line="340" w:lineRule="exact"/>
              <w:jc w:val="center"/>
              <w:rPr>
                <w:rFonts w:ascii="宋体" w:hAnsi="宋体" w:cs="宋体"/>
                <w:kern w:val="0"/>
                <w:szCs w:val="21"/>
                <w:highlight w:val="none"/>
              </w:rPr>
            </w:pPr>
            <w:r>
              <w:rPr>
                <w:rFonts w:hint="eastAsia" w:ascii="宋体" w:hAnsi="宋体" w:cs="宋体"/>
                <w:kern w:val="0"/>
                <w:szCs w:val="21"/>
                <w:highlight w:val="none"/>
              </w:rPr>
              <w:t>木制写字桌</w:t>
            </w:r>
          </w:p>
        </w:tc>
      </w:tr>
      <w:tr>
        <w:tblPrEx>
          <w:tblCellMar>
            <w:top w:w="0" w:type="dxa"/>
            <w:left w:w="108" w:type="dxa"/>
            <w:bottom w:w="0" w:type="dxa"/>
            <w:right w:w="108" w:type="dxa"/>
          </w:tblCellMar>
        </w:tblPrEx>
        <w:trPr>
          <w:trHeight w:val="315" w:hRule="atLeast"/>
        </w:trPr>
        <w:tc>
          <w:tcPr>
            <w:tcW w:w="336" w:type="pct"/>
            <w:tcBorders>
              <w:top w:val="nil"/>
              <w:left w:val="single" w:color="auto" w:sz="4" w:space="0"/>
              <w:bottom w:val="single" w:color="auto" w:sz="4" w:space="0"/>
              <w:right w:val="single" w:color="auto" w:sz="4" w:space="0"/>
            </w:tcBorders>
            <w:vAlign w:val="center"/>
          </w:tcPr>
          <w:p>
            <w:pPr>
              <w:widowControl/>
              <w:spacing w:line="340" w:lineRule="exact"/>
              <w:jc w:val="center"/>
              <w:rPr>
                <w:rFonts w:ascii="宋体" w:hAnsi="宋体" w:cs="宋体"/>
                <w:kern w:val="0"/>
                <w:szCs w:val="21"/>
                <w:highlight w:val="none"/>
              </w:rPr>
            </w:pPr>
            <w:r>
              <w:rPr>
                <w:rFonts w:hint="eastAsia" w:ascii="宋体" w:hAnsi="宋体" w:cs="宋体"/>
                <w:kern w:val="0"/>
                <w:szCs w:val="21"/>
                <w:highlight w:val="none"/>
              </w:rPr>
              <w:t>4</w:t>
            </w:r>
          </w:p>
        </w:tc>
        <w:tc>
          <w:tcPr>
            <w:tcW w:w="1652" w:type="pct"/>
            <w:tcBorders>
              <w:top w:val="nil"/>
              <w:left w:val="nil"/>
              <w:bottom w:val="single" w:color="auto" w:sz="4" w:space="0"/>
              <w:right w:val="single" w:color="auto" w:sz="4" w:space="0"/>
            </w:tcBorders>
            <w:vAlign w:val="center"/>
          </w:tcPr>
          <w:p>
            <w:pPr>
              <w:widowControl/>
              <w:spacing w:line="340" w:lineRule="exact"/>
              <w:jc w:val="center"/>
              <w:rPr>
                <w:rFonts w:ascii="宋体" w:hAnsi="宋体" w:cs="宋体"/>
                <w:kern w:val="0"/>
                <w:szCs w:val="21"/>
                <w:highlight w:val="none"/>
              </w:rPr>
            </w:pPr>
            <w:r>
              <w:rPr>
                <w:rFonts w:ascii="宋体" w:hAnsi="宋体" w:cs="宋体"/>
                <w:kern w:val="0"/>
                <w:szCs w:val="21"/>
                <w:highlight w:val="none"/>
              </w:rPr>
              <w:t>QB/T 1952.1-2012</w:t>
            </w:r>
          </w:p>
        </w:tc>
        <w:tc>
          <w:tcPr>
            <w:tcW w:w="3012" w:type="pct"/>
            <w:tcBorders>
              <w:top w:val="nil"/>
              <w:left w:val="nil"/>
              <w:bottom w:val="single" w:color="auto" w:sz="4" w:space="0"/>
              <w:right w:val="single" w:color="auto" w:sz="4" w:space="0"/>
            </w:tcBorders>
            <w:vAlign w:val="center"/>
          </w:tcPr>
          <w:p>
            <w:pPr>
              <w:widowControl/>
              <w:spacing w:line="340" w:lineRule="exact"/>
              <w:jc w:val="center"/>
              <w:rPr>
                <w:rFonts w:ascii="宋体" w:hAnsi="宋体" w:cs="宋体"/>
                <w:kern w:val="0"/>
                <w:szCs w:val="21"/>
                <w:highlight w:val="none"/>
              </w:rPr>
            </w:pPr>
            <w:r>
              <w:rPr>
                <w:rFonts w:hint="eastAsia" w:ascii="宋体" w:hAnsi="宋体" w:cs="宋体"/>
                <w:kern w:val="0"/>
                <w:szCs w:val="21"/>
                <w:highlight w:val="none"/>
              </w:rPr>
              <w:t>软体家具  沙发</w:t>
            </w:r>
          </w:p>
        </w:tc>
      </w:tr>
      <w:tr>
        <w:tblPrEx>
          <w:tblCellMar>
            <w:top w:w="0" w:type="dxa"/>
            <w:left w:w="108" w:type="dxa"/>
            <w:bottom w:w="0" w:type="dxa"/>
            <w:right w:w="108" w:type="dxa"/>
          </w:tblCellMar>
        </w:tblPrEx>
        <w:trPr>
          <w:trHeight w:val="315" w:hRule="atLeast"/>
        </w:trPr>
        <w:tc>
          <w:tcPr>
            <w:tcW w:w="336" w:type="pct"/>
            <w:tcBorders>
              <w:top w:val="nil"/>
              <w:left w:val="single" w:color="auto" w:sz="4" w:space="0"/>
              <w:bottom w:val="single" w:color="auto" w:sz="4" w:space="0"/>
              <w:right w:val="single" w:color="auto" w:sz="4" w:space="0"/>
            </w:tcBorders>
            <w:vAlign w:val="center"/>
          </w:tcPr>
          <w:p>
            <w:pPr>
              <w:widowControl/>
              <w:spacing w:line="340" w:lineRule="exact"/>
              <w:jc w:val="center"/>
              <w:rPr>
                <w:rFonts w:ascii="宋体" w:hAnsi="宋体" w:cs="宋体"/>
                <w:kern w:val="0"/>
                <w:szCs w:val="21"/>
                <w:highlight w:val="none"/>
              </w:rPr>
            </w:pPr>
            <w:r>
              <w:rPr>
                <w:rFonts w:hint="eastAsia" w:ascii="宋体" w:hAnsi="宋体" w:cs="宋体"/>
                <w:kern w:val="0"/>
                <w:szCs w:val="21"/>
                <w:highlight w:val="none"/>
              </w:rPr>
              <w:t>5</w:t>
            </w:r>
          </w:p>
        </w:tc>
        <w:tc>
          <w:tcPr>
            <w:tcW w:w="1652" w:type="pct"/>
            <w:tcBorders>
              <w:top w:val="nil"/>
              <w:left w:val="nil"/>
              <w:bottom w:val="single" w:color="auto" w:sz="4" w:space="0"/>
              <w:right w:val="single" w:color="auto" w:sz="4" w:space="0"/>
            </w:tcBorders>
            <w:vAlign w:val="center"/>
          </w:tcPr>
          <w:p>
            <w:pPr>
              <w:widowControl/>
              <w:spacing w:line="340" w:lineRule="exact"/>
              <w:jc w:val="center"/>
              <w:rPr>
                <w:rFonts w:ascii="宋体" w:hAnsi="宋体" w:cs="宋体"/>
                <w:kern w:val="0"/>
                <w:szCs w:val="21"/>
                <w:highlight w:val="none"/>
              </w:rPr>
            </w:pPr>
            <w:r>
              <w:rPr>
                <w:rFonts w:ascii="宋体" w:hAnsi="宋体" w:cs="宋体"/>
                <w:kern w:val="0"/>
                <w:szCs w:val="21"/>
                <w:highlight w:val="none"/>
              </w:rPr>
              <w:t>QB/T 2280-2016</w:t>
            </w:r>
          </w:p>
        </w:tc>
        <w:tc>
          <w:tcPr>
            <w:tcW w:w="3012" w:type="pct"/>
            <w:tcBorders>
              <w:top w:val="nil"/>
              <w:left w:val="nil"/>
              <w:bottom w:val="single" w:color="auto" w:sz="4" w:space="0"/>
              <w:right w:val="single" w:color="auto" w:sz="4" w:space="0"/>
            </w:tcBorders>
            <w:vAlign w:val="center"/>
          </w:tcPr>
          <w:p>
            <w:pPr>
              <w:widowControl/>
              <w:spacing w:line="340" w:lineRule="exact"/>
              <w:jc w:val="center"/>
              <w:rPr>
                <w:rFonts w:ascii="宋体" w:hAnsi="宋体" w:cs="宋体"/>
                <w:kern w:val="0"/>
                <w:szCs w:val="21"/>
                <w:highlight w:val="none"/>
              </w:rPr>
            </w:pPr>
            <w:r>
              <w:rPr>
                <w:rFonts w:hint="eastAsia" w:ascii="宋体" w:hAnsi="宋体" w:cs="宋体"/>
                <w:kern w:val="0"/>
                <w:szCs w:val="21"/>
                <w:highlight w:val="none"/>
              </w:rPr>
              <w:t>办公家具 办公椅</w:t>
            </w:r>
          </w:p>
        </w:tc>
      </w:tr>
      <w:tr>
        <w:trPr>
          <w:trHeight w:val="315" w:hRule="atLeast"/>
        </w:trPr>
        <w:tc>
          <w:tcPr>
            <w:tcW w:w="336" w:type="pct"/>
            <w:tcBorders>
              <w:top w:val="nil"/>
              <w:left w:val="single" w:color="auto" w:sz="4" w:space="0"/>
              <w:bottom w:val="single" w:color="auto" w:sz="4" w:space="0"/>
              <w:right w:val="single" w:color="auto" w:sz="4" w:space="0"/>
            </w:tcBorders>
            <w:vAlign w:val="center"/>
          </w:tcPr>
          <w:p>
            <w:pPr>
              <w:widowControl/>
              <w:spacing w:line="340" w:lineRule="exact"/>
              <w:jc w:val="center"/>
              <w:rPr>
                <w:rFonts w:ascii="宋体" w:hAnsi="宋体" w:cs="宋体"/>
                <w:kern w:val="0"/>
                <w:szCs w:val="21"/>
                <w:highlight w:val="none"/>
              </w:rPr>
            </w:pPr>
            <w:r>
              <w:rPr>
                <w:rFonts w:hint="eastAsia" w:ascii="宋体" w:hAnsi="宋体" w:cs="宋体"/>
                <w:kern w:val="0"/>
                <w:szCs w:val="21"/>
                <w:highlight w:val="none"/>
              </w:rPr>
              <w:t>6</w:t>
            </w:r>
          </w:p>
        </w:tc>
        <w:tc>
          <w:tcPr>
            <w:tcW w:w="1652" w:type="pct"/>
            <w:tcBorders>
              <w:top w:val="nil"/>
              <w:left w:val="nil"/>
              <w:bottom w:val="single" w:color="auto" w:sz="4" w:space="0"/>
              <w:right w:val="single" w:color="auto" w:sz="4" w:space="0"/>
            </w:tcBorders>
            <w:vAlign w:val="center"/>
          </w:tcPr>
          <w:p>
            <w:pPr>
              <w:widowControl/>
              <w:spacing w:line="340" w:lineRule="exact"/>
              <w:jc w:val="center"/>
              <w:rPr>
                <w:rFonts w:ascii="宋体" w:hAnsi="宋体" w:cs="宋体"/>
                <w:kern w:val="0"/>
                <w:szCs w:val="21"/>
                <w:highlight w:val="none"/>
              </w:rPr>
            </w:pPr>
            <w:r>
              <w:rPr>
                <w:rFonts w:ascii="宋体" w:hAnsi="宋体" w:cs="宋体"/>
                <w:kern w:val="0"/>
                <w:szCs w:val="21"/>
                <w:highlight w:val="none"/>
              </w:rPr>
              <w:t>QB/T 4447-2013</w:t>
            </w:r>
          </w:p>
        </w:tc>
        <w:tc>
          <w:tcPr>
            <w:tcW w:w="3012" w:type="pct"/>
            <w:tcBorders>
              <w:top w:val="nil"/>
              <w:left w:val="nil"/>
              <w:bottom w:val="single" w:color="auto" w:sz="4" w:space="0"/>
              <w:right w:val="single" w:color="auto" w:sz="4" w:space="0"/>
            </w:tcBorders>
            <w:vAlign w:val="center"/>
          </w:tcPr>
          <w:p>
            <w:pPr>
              <w:widowControl/>
              <w:spacing w:line="340" w:lineRule="exact"/>
              <w:jc w:val="center"/>
              <w:rPr>
                <w:rFonts w:ascii="宋体" w:hAnsi="宋体" w:cs="宋体"/>
                <w:kern w:val="0"/>
                <w:szCs w:val="21"/>
                <w:highlight w:val="none"/>
              </w:rPr>
            </w:pPr>
            <w:r>
              <w:rPr>
                <w:rFonts w:hint="eastAsia" w:ascii="宋体" w:hAnsi="宋体" w:cs="宋体"/>
                <w:kern w:val="0"/>
                <w:szCs w:val="21"/>
                <w:highlight w:val="none"/>
              </w:rPr>
              <w:t>漆艺家具</w:t>
            </w:r>
          </w:p>
        </w:tc>
      </w:tr>
      <w:tr>
        <w:tblPrEx>
          <w:tblCellMar>
            <w:top w:w="0" w:type="dxa"/>
            <w:left w:w="108" w:type="dxa"/>
            <w:bottom w:w="0" w:type="dxa"/>
            <w:right w:w="108" w:type="dxa"/>
          </w:tblCellMar>
        </w:tblPrEx>
        <w:trPr>
          <w:trHeight w:val="315" w:hRule="atLeast"/>
        </w:trPr>
        <w:tc>
          <w:tcPr>
            <w:tcW w:w="336" w:type="pct"/>
            <w:tcBorders>
              <w:top w:val="nil"/>
              <w:left w:val="single" w:color="auto" w:sz="4" w:space="0"/>
              <w:bottom w:val="single" w:color="auto" w:sz="4" w:space="0"/>
              <w:right w:val="single" w:color="auto" w:sz="4" w:space="0"/>
            </w:tcBorders>
            <w:vAlign w:val="center"/>
          </w:tcPr>
          <w:p>
            <w:pPr>
              <w:widowControl/>
              <w:spacing w:line="340" w:lineRule="exact"/>
              <w:jc w:val="center"/>
              <w:rPr>
                <w:rFonts w:ascii="宋体" w:hAnsi="宋体" w:cs="宋体"/>
                <w:kern w:val="0"/>
                <w:szCs w:val="21"/>
                <w:highlight w:val="none"/>
              </w:rPr>
            </w:pPr>
            <w:r>
              <w:rPr>
                <w:rFonts w:hint="eastAsia" w:ascii="宋体" w:hAnsi="宋体" w:cs="宋体"/>
                <w:kern w:val="0"/>
                <w:szCs w:val="21"/>
                <w:highlight w:val="none"/>
              </w:rPr>
              <w:t>7</w:t>
            </w:r>
          </w:p>
        </w:tc>
        <w:tc>
          <w:tcPr>
            <w:tcW w:w="1652" w:type="pct"/>
            <w:tcBorders>
              <w:top w:val="nil"/>
              <w:left w:val="nil"/>
              <w:bottom w:val="single" w:color="auto" w:sz="4" w:space="0"/>
              <w:right w:val="single" w:color="auto" w:sz="4" w:space="0"/>
            </w:tcBorders>
            <w:vAlign w:val="center"/>
          </w:tcPr>
          <w:p>
            <w:pPr>
              <w:widowControl/>
              <w:spacing w:line="340" w:lineRule="exact"/>
              <w:jc w:val="center"/>
              <w:rPr>
                <w:rFonts w:ascii="宋体" w:hAnsi="宋体" w:cs="宋体"/>
                <w:kern w:val="0"/>
                <w:szCs w:val="21"/>
                <w:highlight w:val="none"/>
              </w:rPr>
            </w:pPr>
            <w:r>
              <w:rPr>
                <w:rFonts w:ascii="宋体" w:hAnsi="宋体" w:cs="宋体"/>
                <w:kern w:val="0"/>
                <w:szCs w:val="21"/>
                <w:highlight w:val="none"/>
              </w:rPr>
              <w:t>QB/T 2530-2011</w:t>
            </w:r>
          </w:p>
        </w:tc>
        <w:tc>
          <w:tcPr>
            <w:tcW w:w="3012" w:type="pct"/>
            <w:tcBorders>
              <w:top w:val="nil"/>
              <w:left w:val="nil"/>
              <w:bottom w:val="single" w:color="auto" w:sz="4" w:space="0"/>
              <w:right w:val="single" w:color="auto" w:sz="4" w:space="0"/>
            </w:tcBorders>
            <w:vAlign w:val="center"/>
          </w:tcPr>
          <w:p>
            <w:pPr>
              <w:widowControl/>
              <w:spacing w:line="340" w:lineRule="exact"/>
              <w:jc w:val="center"/>
              <w:rPr>
                <w:rFonts w:ascii="宋体" w:hAnsi="宋体" w:cs="宋体"/>
                <w:kern w:val="0"/>
                <w:szCs w:val="21"/>
                <w:highlight w:val="none"/>
              </w:rPr>
            </w:pPr>
            <w:r>
              <w:rPr>
                <w:rFonts w:hint="eastAsia" w:ascii="宋体" w:hAnsi="宋体" w:cs="宋体"/>
                <w:kern w:val="0"/>
                <w:szCs w:val="21"/>
                <w:highlight w:val="none"/>
              </w:rPr>
              <w:t>木制柜</w:t>
            </w:r>
          </w:p>
        </w:tc>
      </w:tr>
      <w:tr>
        <w:tblPrEx>
          <w:tblCellMar>
            <w:top w:w="0" w:type="dxa"/>
            <w:left w:w="108" w:type="dxa"/>
            <w:bottom w:w="0" w:type="dxa"/>
            <w:right w:w="108" w:type="dxa"/>
          </w:tblCellMar>
        </w:tblPrEx>
        <w:trPr>
          <w:trHeight w:val="315" w:hRule="atLeast"/>
        </w:trPr>
        <w:tc>
          <w:tcPr>
            <w:tcW w:w="336" w:type="pct"/>
            <w:tcBorders>
              <w:top w:val="nil"/>
              <w:left w:val="single" w:color="auto" w:sz="4" w:space="0"/>
              <w:bottom w:val="single" w:color="auto" w:sz="4" w:space="0"/>
              <w:right w:val="single" w:color="auto" w:sz="4" w:space="0"/>
            </w:tcBorders>
            <w:vAlign w:val="center"/>
          </w:tcPr>
          <w:p>
            <w:pPr>
              <w:widowControl/>
              <w:spacing w:line="340" w:lineRule="exact"/>
              <w:jc w:val="center"/>
              <w:rPr>
                <w:rFonts w:ascii="宋体" w:hAnsi="宋体" w:cs="宋体"/>
                <w:kern w:val="0"/>
                <w:szCs w:val="21"/>
                <w:highlight w:val="none"/>
              </w:rPr>
            </w:pPr>
            <w:r>
              <w:rPr>
                <w:rFonts w:hint="eastAsia" w:ascii="宋体" w:hAnsi="宋体" w:cs="宋体"/>
                <w:kern w:val="0"/>
                <w:szCs w:val="21"/>
                <w:highlight w:val="none"/>
              </w:rPr>
              <w:t>8</w:t>
            </w:r>
          </w:p>
        </w:tc>
        <w:tc>
          <w:tcPr>
            <w:tcW w:w="1652" w:type="pct"/>
            <w:tcBorders>
              <w:top w:val="nil"/>
              <w:left w:val="nil"/>
              <w:bottom w:val="single" w:color="auto" w:sz="4" w:space="0"/>
              <w:right w:val="single" w:color="auto" w:sz="4" w:space="0"/>
            </w:tcBorders>
            <w:vAlign w:val="center"/>
          </w:tcPr>
          <w:p>
            <w:pPr>
              <w:widowControl/>
              <w:spacing w:line="340" w:lineRule="exact"/>
              <w:jc w:val="center"/>
              <w:rPr>
                <w:rFonts w:ascii="宋体" w:hAnsi="宋体" w:cs="宋体"/>
                <w:kern w:val="0"/>
                <w:szCs w:val="21"/>
                <w:highlight w:val="none"/>
              </w:rPr>
            </w:pPr>
            <w:r>
              <w:rPr>
                <w:rFonts w:ascii="宋体" w:hAnsi="宋体" w:cs="宋体"/>
                <w:kern w:val="0"/>
                <w:szCs w:val="21"/>
                <w:highlight w:val="none"/>
              </w:rPr>
              <w:t>QB/T 2531-2010</w:t>
            </w:r>
          </w:p>
        </w:tc>
        <w:tc>
          <w:tcPr>
            <w:tcW w:w="3012" w:type="pct"/>
            <w:tcBorders>
              <w:top w:val="nil"/>
              <w:left w:val="nil"/>
              <w:bottom w:val="single" w:color="auto" w:sz="4" w:space="0"/>
              <w:right w:val="single" w:color="auto" w:sz="4" w:space="0"/>
            </w:tcBorders>
            <w:vAlign w:val="center"/>
          </w:tcPr>
          <w:p>
            <w:pPr>
              <w:widowControl/>
              <w:spacing w:line="340" w:lineRule="exact"/>
              <w:jc w:val="center"/>
              <w:rPr>
                <w:rFonts w:ascii="宋体" w:hAnsi="宋体" w:cs="宋体"/>
                <w:kern w:val="0"/>
                <w:szCs w:val="21"/>
                <w:highlight w:val="none"/>
              </w:rPr>
            </w:pPr>
            <w:r>
              <w:rPr>
                <w:rFonts w:hint="eastAsia" w:ascii="宋体" w:hAnsi="宋体" w:cs="宋体"/>
                <w:kern w:val="0"/>
                <w:szCs w:val="21"/>
                <w:highlight w:val="none"/>
              </w:rPr>
              <w:t>厨房家具</w:t>
            </w:r>
          </w:p>
        </w:tc>
      </w:tr>
      <w:tr>
        <w:tblPrEx>
          <w:tblCellMar>
            <w:top w:w="0" w:type="dxa"/>
            <w:left w:w="108" w:type="dxa"/>
            <w:bottom w:w="0" w:type="dxa"/>
            <w:right w:w="108" w:type="dxa"/>
          </w:tblCellMar>
        </w:tblPrEx>
        <w:trPr>
          <w:trHeight w:val="315" w:hRule="atLeast"/>
        </w:trPr>
        <w:tc>
          <w:tcPr>
            <w:tcW w:w="5000" w:type="pct"/>
            <w:gridSpan w:val="3"/>
            <w:tcBorders>
              <w:top w:val="single" w:color="auto" w:sz="4" w:space="0"/>
              <w:left w:val="single" w:color="auto" w:sz="4" w:space="0"/>
              <w:bottom w:val="single" w:color="auto" w:sz="4" w:space="0"/>
              <w:right w:val="single" w:color="000000" w:sz="4" w:space="0"/>
            </w:tcBorders>
            <w:vAlign w:val="center"/>
          </w:tcPr>
          <w:p>
            <w:pPr>
              <w:widowControl/>
              <w:spacing w:line="340" w:lineRule="exact"/>
              <w:jc w:val="left"/>
              <w:rPr>
                <w:rFonts w:ascii="宋体" w:hAnsi="宋体" w:cs="宋体"/>
                <w:kern w:val="0"/>
                <w:szCs w:val="21"/>
                <w:highlight w:val="none"/>
              </w:rPr>
            </w:pPr>
            <w:r>
              <w:rPr>
                <w:rFonts w:hint="eastAsia" w:ascii="宋体" w:hAnsi="宋体" w:cs="宋体"/>
                <w:kern w:val="0"/>
                <w:szCs w:val="21"/>
                <w:highlight w:val="none"/>
              </w:rPr>
              <w:t>（3）参考或依据的主要材料国家标准</w:t>
            </w:r>
          </w:p>
        </w:tc>
      </w:tr>
      <w:tr>
        <w:tblPrEx>
          <w:tblCellMar>
            <w:top w:w="0" w:type="dxa"/>
            <w:left w:w="108" w:type="dxa"/>
            <w:bottom w:w="0" w:type="dxa"/>
            <w:right w:w="108" w:type="dxa"/>
          </w:tblCellMar>
        </w:tblPrEx>
        <w:trPr>
          <w:trHeight w:val="315" w:hRule="atLeast"/>
        </w:trPr>
        <w:tc>
          <w:tcPr>
            <w:tcW w:w="336" w:type="pct"/>
            <w:tcBorders>
              <w:top w:val="nil"/>
              <w:left w:val="single" w:color="auto" w:sz="4" w:space="0"/>
              <w:bottom w:val="single" w:color="auto" w:sz="4" w:space="0"/>
              <w:right w:val="single" w:color="auto" w:sz="4" w:space="0"/>
            </w:tcBorders>
            <w:vAlign w:val="center"/>
          </w:tcPr>
          <w:p>
            <w:pPr>
              <w:widowControl/>
              <w:spacing w:line="340" w:lineRule="exact"/>
              <w:jc w:val="center"/>
              <w:rPr>
                <w:rFonts w:ascii="宋体" w:hAnsi="宋体" w:cs="宋体"/>
                <w:kern w:val="0"/>
                <w:szCs w:val="21"/>
                <w:highlight w:val="none"/>
              </w:rPr>
            </w:pPr>
            <w:r>
              <w:rPr>
                <w:rFonts w:hint="eastAsia" w:ascii="宋体" w:hAnsi="宋体" w:cs="宋体"/>
                <w:kern w:val="0"/>
                <w:szCs w:val="21"/>
                <w:highlight w:val="none"/>
              </w:rPr>
              <w:t>序号</w:t>
            </w:r>
          </w:p>
        </w:tc>
        <w:tc>
          <w:tcPr>
            <w:tcW w:w="1652" w:type="pct"/>
            <w:tcBorders>
              <w:top w:val="nil"/>
              <w:left w:val="nil"/>
              <w:bottom w:val="single" w:color="auto" w:sz="4" w:space="0"/>
              <w:right w:val="single" w:color="auto" w:sz="4" w:space="0"/>
            </w:tcBorders>
            <w:vAlign w:val="center"/>
          </w:tcPr>
          <w:p>
            <w:pPr>
              <w:widowControl/>
              <w:spacing w:line="340" w:lineRule="exact"/>
              <w:jc w:val="center"/>
              <w:rPr>
                <w:rFonts w:ascii="宋体" w:hAnsi="宋体" w:cs="宋体"/>
                <w:kern w:val="0"/>
                <w:szCs w:val="21"/>
                <w:highlight w:val="none"/>
              </w:rPr>
            </w:pPr>
            <w:r>
              <w:rPr>
                <w:rFonts w:hint="eastAsia" w:ascii="宋体" w:hAnsi="宋体" w:cs="宋体"/>
                <w:kern w:val="0"/>
                <w:szCs w:val="21"/>
                <w:highlight w:val="none"/>
              </w:rPr>
              <w:t>标准编号</w:t>
            </w:r>
          </w:p>
        </w:tc>
        <w:tc>
          <w:tcPr>
            <w:tcW w:w="3012" w:type="pct"/>
            <w:tcBorders>
              <w:top w:val="nil"/>
              <w:left w:val="nil"/>
              <w:bottom w:val="single" w:color="auto" w:sz="4" w:space="0"/>
              <w:right w:val="single" w:color="auto" w:sz="4" w:space="0"/>
            </w:tcBorders>
            <w:vAlign w:val="center"/>
          </w:tcPr>
          <w:p>
            <w:pPr>
              <w:widowControl/>
              <w:spacing w:line="340" w:lineRule="exact"/>
              <w:jc w:val="center"/>
              <w:rPr>
                <w:rFonts w:ascii="宋体" w:hAnsi="宋体" w:cs="宋体"/>
                <w:kern w:val="0"/>
                <w:szCs w:val="21"/>
                <w:highlight w:val="none"/>
              </w:rPr>
            </w:pPr>
            <w:r>
              <w:rPr>
                <w:rFonts w:hint="eastAsia" w:ascii="宋体" w:hAnsi="宋体" w:cs="宋体"/>
                <w:kern w:val="0"/>
                <w:szCs w:val="21"/>
                <w:highlight w:val="none"/>
              </w:rPr>
              <w:t>标准名称</w:t>
            </w:r>
          </w:p>
        </w:tc>
      </w:tr>
      <w:tr>
        <w:tblPrEx>
          <w:tblCellMar>
            <w:top w:w="0" w:type="dxa"/>
            <w:left w:w="108" w:type="dxa"/>
            <w:bottom w:w="0" w:type="dxa"/>
            <w:right w:w="108" w:type="dxa"/>
          </w:tblCellMar>
        </w:tblPrEx>
        <w:trPr>
          <w:trHeight w:val="315" w:hRule="atLeast"/>
        </w:trPr>
        <w:tc>
          <w:tcPr>
            <w:tcW w:w="336" w:type="pct"/>
            <w:tcBorders>
              <w:top w:val="nil"/>
              <w:left w:val="single" w:color="auto" w:sz="4" w:space="0"/>
              <w:bottom w:val="single" w:color="auto" w:sz="4" w:space="0"/>
              <w:right w:val="single" w:color="auto" w:sz="4" w:space="0"/>
            </w:tcBorders>
            <w:vAlign w:val="center"/>
          </w:tcPr>
          <w:p>
            <w:pPr>
              <w:widowControl/>
              <w:spacing w:line="340" w:lineRule="exact"/>
              <w:jc w:val="center"/>
              <w:rPr>
                <w:rFonts w:ascii="宋体" w:hAnsi="宋体" w:cs="宋体"/>
                <w:kern w:val="0"/>
                <w:szCs w:val="21"/>
                <w:highlight w:val="none"/>
              </w:rPr>
            </w:pPr>
            <w:r>
              <w:rPr>
                <w:rFonts w:hint="eastAsia" w:ascii="宋体" w:hAnsi="宋体" w:cs="宋体"/>
                <w:kern w:val="0"/>
                <w:szCs w:val="21"/>
                <w:highlight w:val="none"/>
              </w:rPr>
              <w:t>1</w:t>
            </w:r>
          </w:p>
        </w:tc>
        <w:tc>
          <w:tcPr>
            <w:tcW w:w="1652" w:type="pct"/>
            <w:tcBorders>
              <w:top w:val="nil"/>
              <w:left w:val="nil"/>
              <w:bottom w:val="single" w:color="auto" w:sz="4" w:space="0"/>
              <w:right w:val="single" w:color="auto" w:sz="4" w:space="0"/>
            </w:tcBorders>
          </w:tcPr>
          <w:p>
            <w:pPr>
              <w:widowControl/>
              <w:spacing w:line="340" w:lineRule="exact"/>
              <w:jc w:val="center"/>
              <w:rPr>
                <w:rFonts w:ascii="宋体" w:hAnsi="宋体" w:cs="宋体"/>
                <w:kern w:val="0"/>
                <w:szCs w:val="21"/>
                <w:highlight w:val="none"/>
              </w:rPr>
            </w:pPr>
            <w:r>
              <w:rPr>
                <w:rFonts w:ascii="宋体" w:hAnsi="宋体"/>
                <w:szCs w:val="21"/>
                <w:highlight w:val="none"/>
              </w:rPr>
              <w:t>GB/T 4897-2015</w:t>
            </w:r>
          </w:p>
        </w:tc>
        <w:tc>
          <w:tcPr>
            <w:tcW w:w="3012" w:type="pct"/>
            <w:tcBorders>
              <w:top w:val="nil"/>
              <w:left w:val="nil"/>
              <w:bottom w:val="single" w:color="auto" w:sz="4" w:space="0"/>
              <w:right w:val="single" w:color="auto" w:sz="4" w:space="0"/>
            </w:tcBorders>
            <w:vAlign w:val="center"/>
          </w:tcPr>
          <w:p>
            <w:pPr>
              <w:widowControl/>
              <w:spacing w:line="340" w:lineRule="exact"/>
              <w:jc w:val="center"/>
              <w:rPr>
                <w:rFonts w:ascii="宋体" w:hAnsi="宋体" w:cs="宋体"/>
                <w:kern w:val="0"/>
                <w:szCs w:val="21"/>
                <w:highlight w:val="none"/>
              </w:rPr>
            </w:pPr>
            <w:r>
              <w:rPr>
                <w:rFonts w:hint="eastAsia" w:ascii="宋体" w:hAnsi="宋体" w:cs="宋体"/>
                <w:kern w:val="0"/>
                <w:szCs w:val="21"/>
                <w:highlight w:val="none"/>
              </w:rPr>
              <w:t>刨花板</w:t>
            </w:r>
          </w:p>
        </w:tc>
      </w:tr>
      <w:tr>
        <w:tblPrEx>
          <w:tblCellMar>
            <w:top w:w="0" w:type="dxa"/>
            <w:left w:w="108" w:type="dxa"/>
            <w:bottom w:w="0" w:type="dxa"/>
            <w:right w:w="108" w:type="dxa"/>
          </w:tblCellMar>
        </w:tblPrEx>
        <w:trPr>
          <w:trHeight w:val="315" w:hRule="atLeast"/>
        </w:trPr>
        <w:tc>
          <w:tcPr>
            <w:tcW w:w="336" w:type="pct"/>
            <w:tcBorders>
              <w:top w:val="nil"/>
              <w:left w:val="single" w:color="auto" w:sz="4" w:space="0"/>
              <w:bottom w:val="single" w:color="auto" w:sz="4" w:space="0"/>
              <w:right w:val="single" w:color="auto" w:sz="4" w:space="0"/>
            </w:tcBorders>
            <w:vAlign w:val="center"/>
          </w:tcPr>
          <w:p>
            <w:pPr>
              <w:widowControl/>
              <w:spacing w:line="340" w:lineRule="exact"/>
              <w:jc w:val="center"/>
              <w:rPr>
                <w:rFonts w:ascii="宋体" w:hAnsi="宋体" w:cs="宋体"/>
                <w:kern w:val="0"/>
                <w:szCs w:val="21"/>
                <w:highlight w:val="none"/>
              </w:rPr>
            </w:pPr>
            <w:r>
              <w:rPr>
                <w:rFonts w:hint="eastAsia" w:ascii="宋体" w:hAnsi="宋体" w:cs="宋体"/>
                <w:kern w:val="0"/>
                <w:szCs w:val="21"/>
                <w:highlight w:val="none"/>
              </w:rPr>
              <w:t>2</w:t>
            </w:r>
          </w:p>
        </w:tc>
        <w:tc>
          <w:tcPr>
            <w:tcW w:w="1652" w:type="pct"/>
            <w:tcBorders>
              <w:top w:val="nil"/>
              <w:left w:val="nil"/>
              <w:bottom w:val="single" w:color="auto" w:sz="4" w:space="0"/>
              <w:right w:val="single" w:color="auto" w:sz="4" w:space="0"/>
            </w:tcBorders>
          </w:tcPr>
          <w:p>
            <w:pPr>
              <w:widowControl/>
              <w:spacing w:line="340" w:lineRule="exact"/>
              <w:jc w:val="center"/>
              <w:rPr>
                <w:rFonts w:ascii="宋体" w:hAnsi="宋体" w:cs="宋体"/>
                <w:kern w:val="0"/>
                <w:szCs w:val="21"/>
                <w:highlight w:val="none"/>
              </w:rPr>
            </w:pPr>
            <w:r>
              <w:rPr>
                <w:rFonts w:ascii="宋体" w:hAnsi="宋体"/>
                <w:szCs w:val="21"/>
                <w:highlight w:val="none"/>
              </w:rPr>
              <w:t>GB/T 9846-2015</w:t>
            </w:r>
          </w:p>
        </w:tc>
        <w:tc>
          <w:tcPr>
            <w:tcW w:w="3012" w:type="pct"/>
            <w:tcBorders>
              <w:top w:val="nil"/>
              <w:left w:val="nil"/>
              <w:bottom w:val="single" w:color="auto" w:sz="4" w:space="0"/>
              <w:right w:val="single" w:color="auto" w:sz="4" w:space="0"/>
            </w:tcBorders>
            <w:vAlign w:val="center"/>
          </w:tcPr>
          <w:p>
            <w:pPr>
              <w:widowControl/>
              <w:spacing w:line="340" w:lineRule="exact"/>
              <w:jc w:val="center"/>
              <w:rPr>
                <w:rFonts w:ascii="宋体" w:hAnsi="宋体" w:cs="宋体"/>
                <w:kern w:val="0"/>
                <w:szCs w:val="21"/>
                <w:highlight w:val="none"/>
              </w:rPr>
            </w:pPr>
            <w:r>
              <w:rPr>
                <w:rFonts w:hint="eastAsia" w:ascii="宋体" w:hAnsi="宋体" w:cs="宋体"/>
                <w:kern w:val="0"/>
                <w:szCs w:val="21"/>
                <w:highlight w:val="none"/>
              </w:rPr>
              <w:t>胶合板</w:t>
            </w:r>
          </w:p>
        </w:tc>
      </w:tr>
      <w:tr>
        <w:tblPrEx>
          <w:tblCellMar>
            <w:top w:w="0" w:type="dxa"/>
            <w:left w:w="108" w:type="dxa"/>
            <w:bottom w:w="0" w:type="dxa"/>
            <w:right w:w="108" w:type="dxa"/>
          </w:tblCellMar>
        </w:tblPrEx>
        <w:trPr>
          <w:trHeight w:val="315" w:hRule="atLeast"/>
        </w:trPr>
        <w:tc>
          <w:tcPr>
            <w:tcW w:w="336" w:type="pct"/>
            <w:tcBorders>
              <w:top w:val="nil"/>
              <w:left w:val="single" w:color="auto" w:sz="4" w:space="0"/>
              <w:bottom w:val="single" w:color="auto" w:sz="4" w:space="0"/>
              <w:right w:val="single" w:color="auto" w:sz="4" w:space="0"/>
            </w:tcBorders>
            <w:vAlign w:val="center"/>
          </w:tcPr>
          <w:p>
            <w:pPr>
              <w:widowControl/>
              <w:spacing w:line="340" w:lineRule="exact"/>
              <w:jc w:val="center"/>
              <w:rPr>
                <w:rFonts w:ascii="宋体" w:hAnsi="宋体" w:cs="宋体"/>
                <w:kern w:val="0"/>
                <w:szCs w:val="21"/>
                <w:highlight w:val="none"/>
              </w:rPr>
            </w:pPr>
            <w:r>
              <w:rPr>
                <w:rFonts w:hint="eastAsia" w:ascii="宋体" w:hAnsi="宋体" w:cs="宋体"/>
                <w:kern w:val="0"/>
                <w:szCs w:val="21"/>
                <w:highlight w:val="none"/>
              </w:rPr>
              <w:t>3</w:t>
            </w:r>
          </w:p>
        </w:tc>
        <w:tc>
          <w:tcPr>
            <w:tcW w:w="1652" w:type="pct"/>
            <w:tcBorders>
              <w:top w:val="nil"/>
              <w:left w:val="nil"/>
              <w:bottom w:val="single" w:color="auto" w:sz="4" w:space="0"/>
              <w:right w:val="single" w:color="auto" w:sz="4" w:space="0"/>
            </w:tcBorders>
          </w:tcPr>
          <w:p>
            <w:pPr>
              <w:widowControl/>
              <w:spacing w:line="340" w:lineRule="exact"/>
              <w:jc w:val="center"/>
              <w:rPr>
                <w:rFonts w:ascii="宋体" w:hAnsi="宋体" w:cs="宋体"/>
                <w:kern w:val="0"/>
                <w:szCs w:val="21"/>
                <w:highlight w:val="none"/>
              </w:rPr>
            </w:pPr>
            <w:r>
              <w:rPr>
                <w:rFonts w:ascii="宋体" w:hAnsi="宋体"/>
                <w:szCs w:val="21"/>
                <w:highlight w:val="none"/>
              </w:rPr>
              <w:t>GB/T 11718-2009</w:t>
            </w:r>
          </w:p>
        </w:tc>
        <w:tc>
          <w:tcPr>
            <w:tcW w:w="3012" w:type="pct"/>
            <w:tcBorders>
              <w:top w:val="nil"/>
              <w:left w:val="nil"/>
              <w:bottom w:val="single" w:color="auto" w:sz="4" w:space="0"/>
              <w:right w:val="single" w:color="auto" w:sz="4" w:space="0"/>
            </w:tcBorders>
            <w:vAlign w:val="center"/>
          </w:tcPr>
          <w:p>
            <w:pPr>
              <w:widowControl/>
              <w:spacing w:line="340" w:lineRule="exact"/>
              <w:jc w:val="center"/>
              <w:rPr>
                <w:rFonts w:ascii="宋体" w:hAnsi="宋体" w:cs="宋体"/>
                <w:kern w:val="0"/>
                <w:szCs w:val="21"/>
                <w:highlight w:val="none"/>
              </w:rPr>
            </w:pPr>
            <w:r>
              <w:rPr>
                <w:rFonts w:hint="eastAsia" w:ascii="宋体" w:hAnsi="宋体" w:cs="宋体"/>
                <w:kern w:val="0"/>
                <w:szCs w:val="21"/>
                <w:highlight w:val="none"/>
              </w:rPr>
              <w:t>中密度纤维板</w:t>
            </w:r>
          </w:p>
        </w:tc>
      </w:tr>
      <w:tr>
        <w:tblPrEx>
          <w:tblCellMar>
            <w:top w:w="0" w:type="dxa"/>
            <w:left w:w="108" w:type="dxa"/>
            <w:bottom w:w="0" w:type="dxa"/>
            <w:right w:w="108" w:type="dxa"/>
          </w:tblCellMar>
        </w:tblPrEx>
        <w:trPr>
          <w:trHeight w:val="315" w:hRule="atLeast"/>
        </w:trPr>
        <w:tc>
          <w:tcPr>
            <w:tcW w:w="336" w:type="pct"/>
            <w:tcBorders>
              <w:top w:val="nil"/>
              <w:left w:val="single" w:color="auto" w:sz="4" w:space="0"/>
              <w:bottom w:val="single" w:color="auto" w:sz="4" w:space="0"/>
              <w:right w:val="single" w:color="auto" w:sz="4" w:space="0"/>
            </w:tcBorders>
            <w:vAlign w:val="center"/>
          </w:tcPr>
          <w:p>
            <w:pPr>
              <w:widowControl/>
              <w:spacing w:line="340" w:lineRule="exact"/>
              <w:jc w:val="center"/>
              <w:rPr>
                <w:rFonts w:ascii="宋体" w:hAnsi="宋体" w:cs="宋体"/>
                <w:kern w:val="0"/>
                <w:szCs w:val="21"/>
                <w:highlight w:val="none"/>
              </w:rPr>
            </w:pPr>
            <w:r>
              <w:rPr>
                <w:rFonts w:hint="eastAsia" w:ascii="宋体" w:hAnsi="宋体" w:cs="宋体"/>
                <w:kern w:val="0"/>
                <w:szCs w:val="21"/>
                <w:highlight w:val="none"/>
              </w:rPr>
              <w:t>4</w:t>
            </w:r>
          </w:p>
        </w:tc>
        <w:tc>
          <w:tcPr>
            <w:tcW w:w="1652" w:type="pct"/>
            <w:tcBorders>
              <w:top w:val="nil"/>
              <w:left w:val="nil"/>
              <w:bottom w:val="single" w:color="auto" w:sz="4" w:space="0"/>
              <w:right w:val="single" w:color="auto" w:sz="4" w:space="0"/>
            </w:tcBorders>
          </w:tcPr>
          <w:p>
            <w:pPr>
              <w:widowControl/>
              <w:spacing w:line="340" w:lineRule="exact"/>
              <w:jc w:val="center"/>
              <w:rPr>
                <w:rFonts w:ascii="宋体" w:hAnsi="宋体" w:cs="宋体"/>
                <w:kern w:val="0"/>
                <w:szCs w:val="21"/>
                <w:highlight w:val="none"/>
              </w:rPr>
            </w:pPr>
            <w:r>
              <w:rPr>
                <w:rFonts w:ascii="宋体" w:hAnsi="宋体"/>
                <w:szCs w:val="21"/>
                <w:highlight w:val="none"/>
              </w:rPr>
              <w:t>GB/T 17657-2013</w:t>
            </w:r>
          </w:p>
        </w:tc>
        <w:tc>
          <w:tcPr>
            <w:tcW w:w="3012" w:type="pct"/>
            <w:tcBorders>
              <w:top w:val="nil"/>
              <w:left w:val="nil"/>
              <w:bottom w:val="single" w:color="auto" w:sz="4" w:space="0"/>
              <w:right w:val="single" w:color="auto" w:sz="4" w:space="0"/>
            </w:tcBorders>
            <w:vAlign w:val="center"/>
          </w:tcPr>
          <w:p>
            <w:pPr>
              <w:widowControl/>
              <w:spacing w:line="340" w:lineRule="exact"/>
              <w:jc w:val="center"/>
              <w:rPr>
                <w:rFonts w:ascii="宋体" w:hAnsi="宋体" w:cs="宋体"/>
                <w:kern w:val="0"/>
                <w:szCs w:val="21"/>
                <w:highlight w:val="none"/>
              </w:rPr>
            </w:pPr>
            <w:r>
              <w:rPr>
                <w:rFonts w:hint="eastAsia" w:ascii="宋体" w:hAnsi="宋体" w:cs="宋体"/>
                <w:kern w:val="0"/>
                <w:szCs w:val="21"/>
                <w:highlight w:val="none"/>
              </w:rPr>
              <w:t>人造板及饰面人造板理化性能试验方法</w:t>
            </w:r>
          </w:p>
        </w:tc>
      </w:tr>
      <w:tr>
        <w:tblPrEx>
          <w:tblCellMar>
            <w:top w:w="0" w:type="dxa"/>
            <w:left w:w="108" w:type="dxa"/>
            <w:bottom w:w="0" w:type="dxa"/>
            <w:right w:w="108" w:type="dxa"/>
          </w:tblCellMar>
        </w:tblPrEx>
        <w:trPr>
          <w:trHeight w:val="315" w:hRule="atLeast"/>
        </w:trPr>
        <w:tc>
          <w:tcPr>
            <w:tcW w:w="336" w:type="pct"/>
            <w:tcBorders>
              <w:top w:val="nil"/>
              <w:left w:val="single" w:color="auto" w:sz="4" w:space="0"/>
              <w:bottom w:val="single" w:color="auto" w:sz="4" w:space="0"/>
              <w:right w:val="single" w:color="auto" w:sz="4" w:space="0"/>
            </w:tcBorders>
            <w:vAlign w:val="center"/>
          </w:tcPr>
          <w:p>
            <w:pPr>
              <w:widowControl/>
              <w:spacing w:line="340" w:lineRule="exact"/>
              <w:jc w:val="center"/>
              <w:rPr>
                <w:rFonts w:ascii="宋体" w:hAnsi="宋体" w:cs="宋体"/>
                <w:kern w:val="0"/>
                <w:szCs w:val="21"/>
                <w:highlight w:val="none"/>
              </w:rPr>
            </w:pPr>
            <w:r>
              <w:rPr>
                <w:rFonts w:hint="eastAsia" w:ascii="宋体" w:hAnsi="宋体" w:cs="宋体"/>
                <w:kern w:val="0"/>
                <w:szCs w:val="21"/>
                <w:highlight w:val="none"/>
              </w:rPr>
              <w:t>5</w:t>
            </w:r>
          </w:p>
        </w:tc>
        <w:tc>
          <w:tcPr>
            <w:tcW w:w="1652" w:type="pct"/>
            <w:tcBorders>
              <w:top w:val="nil"/>
              <w:left w:val="nil"/>
              <w:bottom w:val="single" w:color="auto" w:sz="4" w:space="0"/>
              <w:right w:val="single" w:color="auto" w:sz="4" w:space="0"/>
            </w:tcBorders>
          </w:tcPr>
          <w:p>
            <w:pPr>
              <w:widowControl/>
              <w:spacing w:line="340" w:lineRule="exact"/>
              <w:jc w:val="center"/>
              <w:rPr>
                <w:rFonts w:ascii="宋体" w:hAnsi="宋体" w:cs="宋体"/>
                <w:kern w:val="0"/>
                <w:szCs w:val="21"/>
                <w:highlight w:val="none"/>
              </w:rPr>
            </w:pPr>
            <w:r>
              <w:rPr>
                <w:rFonts w:ascii="宋体" w:hAnsi="宋体"/>
                <w:szCs w:val="21"/>
                <w:highlight w:val="none"/>
              </w:rPr>
              <w:t>GB 18580-2017</w:t>
            </w:r>
          </w:p>
        </w:tc>
        <w:tc>
          <w:tcPr>
            <w:tcW w:w="3012" w:type="pct"/>
            <w:tcBorders>
              <w:top w:val="nil"/>
              <w:left w:val="nil"/>
              <w:bottom w:val="single" w:color="auto" w:sz="4" w:space="0"/>
              <w:right w:val="single" w:color="auto" w:sz="4" w:space="0"/>
            </w:tcBorders>
            <w:vAlign w:val="center"/>
          </w:tcPr>
          <w:p>
            <w:pPr>
              <w:widowControl/>
              <w:spacing w:line="340" w:lineRule="exact"/>
              <w:jc w:val="center"/>
              <w:rPr>
                <w:rFonts w:ascii="宋体" w:hAnsi="宋体" w:cs="宋体"/>
                <w:kern w:val="0"/>
                <w:szCs w:val="21"/>
                <w:highlight w:val="none"/>
              </w:rPr>
            </w:pPr>
            <w:r>
              <w:rPr>
                <w:rFonts w:hint="eastAsia" w:ascii="宋体" w:hAnsi="宋体" w:cs="宋体"/>
                <w:kern w:val="0"/>
                <w:szCs w:val="21"/>
                <w:highlight w:val="none"/>
              </w:rPr>
              <w:t>室内装饰装修材料  人造板及其制品中甲醛释放限量</w:t>
            </w:r>
          </w:p>
        </w:tc>
      </w:tr>
      <w:tr>
        <w:tblPrEx>
          <w:tblCellMar>
            <w:top w:w="0" w:type="dxa"/>
            <w:left w:w="108" w:type="dxa"/>
            <w:bottom w:w="0" w:type="dxa"/>
            <w:right w:w="108" w:type="dxa"/>
          </w:tblCellMar>
        </w:tblPrEx>
        <w:trPr>
          <w:trHeight w:val="315" w:hRule="atLeast"/>
        </w:trPr>
        <w:tc>
          <w:tcPr>
            <w:tcW w:w="336" w:type="pct"/>
            <w:tcBorders>
              <w:top w:val="nil"/>
              <w:left w:val="single" w:color="auto" w:sz="4" w:space="0"/>
              <w:bottom w:val="single" w:color="auto" w:sz="4" w:space="0"/>
              <w:right w:val="single" w:color="auto" w:sz="4" w:space="0"/>
            </w:tcBorders>
            <w:vAlign w:val="center"/>
          </w:tcPr>
          <w:p>
            <w:pPr>
              <w:widowControl/>
              <w:spacing w:line="340" w:lineRule="exact"/>
              <w:jc w:val="center"/>
              <w:rPr>
                <w:rFonts w:ascii="宋体" w:hAnsi="宋体" w:cs="宋体"/>
                <w:kern w:val="0"/>
                <w:szCs w:val="21"/>
                <w:highlight w:val="none"/>
              </w:rPr>
            </w:pPr>
            <w:r>
              <w:rPr>
                <w:rFonts w:hint="eastAsia" w:ascii="宋体" w:hAnsi="宋体" w:cs="宋体"/>
                <w:kern w:val="0"/>
                <w:szCs w:val="21"/>
                <w:highlight w:val="none"/>
              </w:rPr>
              <w:t>6</w:t>
            </w:r>
          </w:p>
        </w:tc>
        <w:tc>
          <w:tcPr>
            <w:tcW w:w="1652" w:type="pct"/>
            <w:tcBorders>
              <w:top w:val="nil"/>
              <w:left w:val="nil"/>
              <w:bottom w:val="single" w:color="auto" w:sz="4" w:space="0"/>
              <w:right w:val="single" w:color="auto" w:sz="4" w:space="0"/>
            </w:tcBorders>
          </w:tcPr>
          <w:p>
            <w:pPr>
              <w:widowControl/>
              <w:spacing w:line="340" w:lineRule="exact"/>
              <w:jc w:val="center"/>
              <w:rPr>
                <w:rFonts w:ascii="宋体" w:hAnsi="宋体" w:cs="宋体"/>
                <w:kern w:val="0"/>
                <w:szCs w:val="21"/>
                <w:highlight w:val="none"/>
              </w:rPr>
            </w:pPr>
            <w:r>
              <w:rPr>
                <w:rFonts w:ascii="宋体" w:hAnsi="宋体"/>
                <w:szCs w:val="21"/>
                <w:highlight w:val="none"/>
              </w:rPr>
              <w:t>GB 18583-2008</w:t>
            </w:r>
          </w:p>
        </w:tc>
        <w:tc>
          <w:tcPr>
            <w:tcW w:w="3012" w:type="pct"/>
            <w:tcBorders>
              <w:top w:val="nil"/>
              <w:left w:val="nil"/>
              <w:bottom w:val="single" w:color="auto" w:sz="4" w:space="0"/>
              <w:right w:val="single" w:color="auto" w:sz="4" w:space="0"/>
            </w:tcBorders>
            <w:vAlign w:val="center"/>
          </w:tcPr>
          <w:p>
            <w:pPr>
              <w:widowControl/>
              <w:spacing w:line="340" w:lineRule="exact"/>
              <w:jc w:val="center"/>
              <w:rPr>
                <w:rFonts w:ascii="宋体" w:hAnsi="宋体" w:cs="宋体"/>
                <w:kern w:val="0"/>
                <w:szCs w:val="21"/>
                <w:highlight w:val="none"/>
              </w:rPr>
            </w:pPr>
            <w:r>
              <w:rPr>
                <w:rFonts w:hint="eastAsia" w:ascii="宋体" w:hAnsi="宋体" w:cs="宋体"/>
                <w:kern w:val="0"/>
                <w:szCs w:val="21"/>
                <w:highlight w:val="none"/>
              </w:rPr>
              <w:t>室内装饰装修材料  胶粘剂中有害物质限量</w:t>
            </w:r>
          </w:p>
        </w:tc>
      </w:tr>
      <w:tr>
        <w:tblPrEx>
          <w:tblCellMar>
            <w:top w:w="0" w:type="dxa"/>
            <w:left w:w="108" w:type="dxa"/>
            <w:bottom w:w="0" w:type="dxa"/>
            <w:right w:w="108" w:type="dxa"/>
          </w:tblCellMar>
        </w:tblPrEx>
        <w:trPr>
          <w:trHeight w:val="315" w:hRule="atLeast"/>
        </w:trPr>
        <w:tc>
          <w:tcPr>
            <w:tcW w:w="336" w:type="pct"/>
            <w:tcBorders>
              <w:top w:val="nil"/>
              <w:left w:val="single" w:color="auto" w:sz="4" w:space="0"/>
              <w:bottom w:val="single" w:color="auto" w:sz="4" w:space="0"/>
              <w:right w:val="single" w:color="auto" w:sz="4" w:space="0"/>
            </w:tcBorders>
            <w:vAlign w:val="center"/>
          </w:tcPr>
          <w:p>
            <w:pPr>
              <w:widowControl/>
              <w:spacing w:line="340" w:lineRule="exact"/>
              <w:jc w:val="center"/>
              <w:rPr>
                <w:rFonts w:ascii="宋体" w:hAnsi="宋体" w:cs="宋体"/>
                <w:kern w:val="0"/>
                <w:szCs w:val="21"/>
                <w:highlight w:val="none"/>
              </w:rPr>
            </w:pPr>
            <w:r>
              <w:rPr>
                <w:rFonts w:hint="eastAsia" w:ascii="宋体" w:hAnsi="宋体" w:cs="宋体"/>
                <w:kern w:val="0"/>
                <w:szCs w:val="21"/>
                <w:highlight w:val="none"/>
              </w:rPr>
              <w:t>7</w:t>
            </w:r>
          </w:p>
        </w:tc>
        <w:tc>
          <w:tcPr>
            <w:tcW w:w="1652" w:type="pct"/>
            <w:tcBorders>
              <w:top w:val="nil"/>
              <w:left w:val="nil"/>
              <w:bottom w:val="single" w:color="auto" w:sz="4" w:space="0"/>
              <w:right w:val="single" w:color="auto" w:sz="4" w:space="0"/>
            </w:tcBorders>
          </w:tcPr>
          <w:p>
            <w:pPr>
              <w:widowControl/>
              <w:spacing w:line="340" w:lineRule="exact"/>
              <w:jc w:val="center"/>
              <w:rPr>
                <w:rFonts w:ascii="宋体" w:hAnsi="宋体" w:cs="宋体"/>
                <w:kern w:val="0"/>
                <w:szCs w:val="21"/>
                <w:highlight w:val="none"/>
              </w:rPr>
            </w:pPr>
            <w:r>
              <w:rPr>
                <w:rFonts w:ascii="宋体" w:hAnsi="宋体"/>
                <w:szCs w:val="21"/>
                <w:highlight w:val="none"/>
              </w:rPr>
              <w:t>GB 18581-2020</w:t>
            </w:r>
          </w:p>
        </w:tc>
        <w:tc>
          <w:tcPr>
            <w:tcW w:w="3012" w:type="pct"/>
            <w:tcBorders>
              <w:top w:val="nil"/>
              <w:left w:val="nil"/>
              <w:bottom w:val="single" w:color="auto" w:sz="4" w:space="0"/>
              <w:right w:val="single" w:color="auto" w:sz="4" w:space="0"/>
            </w:tcBorders>
            <w:vAlign w:val="center"/>
          </w:tcPr>
          <w:p>
            <w:pPr>
              <w:widowControl/>
              <w:spacing w:line="340" w:lineRule="exact"/>
              <w:jc w:val="center"/>
              <w:rPr>
                <w:rFonts w:ascii="宋体" w:hAnsi="宋体" w:cs="宋体"/>
                <w:kern w:val="0"/>
                <w:szCs w:val="21"/>
                <w:highlight w:val="none"/>
              </w:rPr>
            </w:pPr>
            <w:r>
              <w:rPr>
                <w:rFonts w:hint="eastAsia" w:ascii="宋体" w:hAnsi="宋体" w:cs="宋体"/>
                <w:kern w:val="0"/>
                <w:szCs w:val="21"/>
                <w:highlight w:val="none"/>
              </w:rPr>
              <w:t>室内装饰装修材料  溶剂型木器涂料中有害物质限量</w:t>
            </w:r>
          </w:p>
        </w:tc>
      </w:tr>
    </w:tbl>
    <w:p>
      <w:pPr>
        <w:spacing w:before="156" w:beforeLines="50" w:line="340" w:lineRule="exact"/>
        <w:ind w:firstLine="420" w:firstLineChars="200"/>
        <w:rPr>
          <w:rFonts w:ascii="宋体" w:hAnsi="宋体"/>
          <w:szCs w:val="21"/>
          <w:highlight w:val="none"/>
        </w:rPr>
      </w:pPr>
      <w:r>
        <w:rPr>
          <w:rFonts w:hint="eastAsia" w:ascii="宋体" w:hAnsi="宋体"/>
          <w:szCs w:val="21"/>
          <w:highlight w:val="none"/>
        </w:rPr>
        <w:t>如上述规范及规定不能覆盖全部的工作内容，则应遵循国家相关的最新规范及规定。</w:t>
      </w:r>
    </w:p>
    <w:p>
      <w:pPr>
        <w:spacing w:before="156" w:beforeLines="50" w:line="340" w:lineRule="exact"/>
        <w:ind w:firstLine="420" w:firstLineChars="200"/>
        <w:rPr>
          <w:rFonts w:ascii="宋体" w:hAnsi="宋体"/>
          <w:szCs w:val="21"/>
          <w:highlight w:val="none"/>
        </w:rPr>
      </w:pPr>
      <w:r>
        <w:rPr>
          <w:rFonts w:hint="eastAsia" w:ascii="宋体" w:hAnsi="宋体"/>
          <w:szCs w:val="21"/>
          <w:highlight w:val="none"/>
        </w:rPr>
        <w:t>2.1.9产品外形宽、深、高尺寸的极限偏差为士5mm，配套或组合产品的极限偏差应同取正值或负值。门桌、椅、凳类主要尺寸应符合《桌、椅、凳类主要尺寸》（</w:t>
      </w:r>
      <w:r>
        <w:rPr>
          <w:rFonts w:ascii="宋体" w:hAnsi="宋体"/>
          <w:szCs w:val="21"/>
          <w:highlight w:val="none"/>
        </w:rPr>
        <w:t>GB/T 3326-2016</w:t>
      </w:r>
      <w:r>
        <w:rPr>
          <w:rFonts w:hint="eastAsia" w:ascii="宋体" w:hAnsi="宋体"/>
          <w:szCs w:val="21"/>
          <w:highlight w:val="none"/>
        </w:rPr>
        <w:t>）国家标准规定，柜类主要尺寸应符合《家具、柜类尺寸》（</w:t>
      </w:r>
      <w:r>
        <w:rPr>
          <w:rFonts w:ascii="宋体" w:hAnsi="宋体"/>
          <w:szCs w:val="21"/>
          <w:highlight w:val="none"/>
        </w:rPr>
        <w:t>GB/T 3327-2016</w:t>
      </w:r>
      <w:r>
        <w:rPr>
          <w:rFonts w:hint="eastAsia" w:ascii="宋体" w:hAnsi="宋体"/>
          <w:szCs w:val="21"/>
          <w:highlight w:val="none"/>
        </w:rPr>
        <w:t>）国家标准规定。</w:t>
      </w:r>
    </w:p>
    <w:p>
      <w:pPr>
        <w:spacing w:before="156" w:beforeLines="50" w:line="340" w:lineRule="exact"/>
        <w:ind w:firstLine="420" w:firstLineChars="200"/>
        <w:rPr>
          <w:rFonts w:ascii="宋体" w:hAnsi="宋体"/>
          <w:kern w:val="0"/>
          <w:szCs w:val="21"/>
          <w:highlight w:val="none"/>
        </w:rPr>
      </w:pPr>
      <w:r>
        <w:rPr>
          <w:rFonts w:hint="eastAsia" w:ascii="宋体" w:hAnsi="宋体"/>
          <w:kern w:val="0"/>
          <w:szCs w:val="21"/>
          <w:highlight w:val="none"/>
        </w:rPr>
        <w:t>2.1.10投标人在本采购项目中所使用的油漆、胶料等化工材料必须使用环保型产品，应符合国家相关环保标准。</w:t>
      </w:r>
    </w:p>
    <w:p>
      <w:pPr>
        <w:spacing w:before="156" w:beforeLines="50" w:line="340" w:lineRule="exact"/>
        <w:ind w:firstLine="420" w:firstLineChars="200"/>
        <w:rPr>
          <w:rFonts w:ascii="宋体" w:hAnsi="宋体"/>
          <w:kern w:val="0"/>
          <w:szCs w:val="21"/>
          <w:highlight w:val="none"/>
        </w:rPr>
      </w:pPr>
      <w:r>
        <w:rPr>
          <w:rFonts w:hint="eastAsia" w:ascii="宋体" w:hAnsi="宋体"/>
          <w:szCs w:val="21"/>
          <w:highlight w:val="none"/>
        </w:rPr>
        <w:t>2.1.11</w:t>
      </w:r>
      <w:r>
        <w:rPr>
          <w:rFonts w:hint="eastAsia" w:ascii="宋体" w:hAnsi="宋体"/>
          <w:kern w:val="0"/>
          <w:szCs w:val="21"/>
          <w:highlight w:val="none"/>
        </w:rPr>
        <w:t>投标人在本采购项目中所使用的的隔音麻绒布料必须符合阻燃要求，且屏风、办公台等能进行智能综合布线安装，要求强、弱电分线槽布放，同时须考虑预留插座底盒。</w:t>
      </w:r>
      <w:bookmarkStart w:id="81" w:name="_Toc447182444"/>
      <w:bookmarkStart w:id="82" w:name="_Toc438042786"/>
      <w:bookmarkStart w:id="83" w:name="_Toc361675350"/>
    </w:p>
    <w:p>
      <w:pPr>
        <w:spacing w:before="156" w:beforeLines="50" w:line="340" w:lineRule="exact"/>
        <w:rPr>
          <w:rFonts w:ascii="宋体" w:hAnsi="宋体"/>
          <w:b/>
          <w:bCs/>
          <w:szCs w:val="21"/>
          <w:highlight w:val="none"/>
        </w:rPr>
      </w:pPr>
      <w:r>
        <w:rPr>
          <w:rFonts w:hint="eastAsia" w:ascii="宋体" w:hAnsi="宋体"/>
          <w:b/>
          <w:bCs/>
          <w:szCs w:val="21"/>
          <w:highlight w:val="none"/>
        </w:rPr>
        <w:t xml:space="preserve">  2.2项目基本要求</w:t>
      </w:r>
      <w:bookmarkEnd w:id="81"/>
      <w:bookmarkEnd w:id="82"/>
      <w:bookmarkEnd w:id="83"/>
    </w:p>
    <w:p>
      <w:pPr>
        <w:spacing w:before="156" w:beforeLines="50" w:line="340" w:lineRule="exact"/>
        <w:ind w:firstLine="420" w:firstLineChars="200"/>
        <w:rPr>
          <w:rFonts w:ascii="宋体" w:hAnsi="宋体" w:cs="宋体"/>
          <w:szCs w:val="21"/>
          <w:highlight w:val="none"/>
        </w:rPr>
      </w:pPr>
      <w:r>
        <w:rPr>
          <w:rFonts w:hint="eastAsia" w:ascii="宋体" w:hAnsi="宋体" w:cs="宋体"/>
          <w:szCs w:val="21"/>
          <w:highlight w:val="none"/>
        </w:rPr>
        <w:t>2.2.1投标人需配备专人专线联系，对招标人的需求及时响应处理。</w:t>
      </w:r>
    </w:p>
    <w:p>
      <w:pPr>
        <w:spacing w:before="156" w:beforeLines="50" w:line="340" w:lineRule="exact"/>
        <w:ind w:firstLine="420" w:firstLineChars="200"/>
        <w:rPr>
          <w:rFonts w:ascii="宋体" w:hAnsi="宋体" w:cs="宋体"/>
          <w:szCs w:val="21"/>
          <w:highlight w:val="none"/>
        </w:rPr>
      </w:pPr>
      <w:r>
        <w:rPr>
          <w:rFonts w:hint="eastAsia" w:ascii="宋体" w:hAnsi="宋体" w:cs="宋体"/>
          <w:szCs w:val="21"/>
          <w:highlight w:val="none"/>
        </w:rPr>
        <w:t>2.2.2产品生产前，招标人可以根据实际需要，调整产品的规格、颜色和数量。若增加的产品规格与附件或投标文件中的产品规格相同，则产品的单价按附件或投标文件中的产品单价计；若增加的产品规格与附件或投标文件中的产品规格不同，尺寸偏差在10%以内价格不做调整，尺寸偏差超过10%，则产品的单价另行协商，以投标的计价标准计价（如以同类型家具的单位面积计价）。</w:t>
      </w:r>
      <w:bookmarkStart w:id="84" w:name="_Toc332723483"/>
      <w:bookmarkStart w:id="85" w:name="_Toc338627578"/>
    </w:p>
    <w:p>
      <w:pPr>
        <w:spacing w:before="156" w:beforeLines="50" w:line="340" w:lineRule="exact"/>
        <w:ind w:firstLine="420" w:firstLineChars="200"/>
        <w:rPr>
          <w:rFonts w:ascii="宋体" w:hAnsi="宋体"/>
          <w:szCs w:val="21"/>
          <w:highlight w:val="none"/>
        </w:rPr>
      </w:pPr>
      <w:r>
        <w:rPr>
          <w:rFonts w:hint="eastAsia" w:ascii="宋体" w:hAnsi="宋体"/>
          <w:szCs w:val="21"/>
          <w:highlight w:val="none"/>
        </w:rPr>
        <w:t>2.2.3投标人根据招标人需求进行制作，按招标人规定时间、规定地点免费送货并安装。中间发生办公家具的深化设计、生产、供应、运输、装卸、安装、调试、保管、验收及售后等产生的费用由投标人负责。</w:t>
      </w:r>
    </w:p>
    <w:p>
      <w:pPr>
        <w:spacing w:before="156" w:beforeLines="50" w:line="340" w:lineRule="exact"/>
        <w:ind w:firstLine="420" w:firstLineChars="200"/>
        <w:rPr>
          <w:rFonts w:ascii="宋体" w:hAnsi="宋体"/>
          <w:szCs w:val="21"/>
          <w:highlight w:val="none"/>
        </w:rPr>
      </w:pPr>
      <w:r>
        <w:rPr>
          <w:rFonts w:hint="eastAsia" w:ascii="宋体" w:hAnsi="宋体"/>
          <w:szCs w:val="21"/>
          <w:highlight w:val="none"/>
        </w:rPr>
        <w:t>2.2.4投标人对安装过程、安装质量负责。如发现质量瑕疵或造成实际损害时，应当承担相应的法律责任。</w:t>
      </w:r>
    </w:p>
    <w:p>
      <w:pPr>
        <w:spacing w:before="156" w:beforeLines="50" w:line="340" w:lineRule="exact"/>
        <w:ind w:firstLine="420" w:firstLineChars="200"/>
        <w:rPr>
          <w:rFonts w:ascii="宋体" w:hAnsi="宋体"/>
          <w:szCs w:val="21"/>
          <w:highlight w:val="none"/>
        </w:rPr>
      </w:pPr>
      <w:r>
        <w:rPr>
          <w:rFonts w:hint="eastAsia" w:ascii="宋体" w:hAnsi="宋体"/>
          <w:szCs w:val="21"/>
          <w:highlight w:val="none"/>
        </w:rPr>
        <w:t>2.2.5投标人提供的产品必须是全新（包括零部件）的产品，如所供部分产品是在招标过程中经招标人确认的样品，必须与样品一致。投标人保证所提供的产品为原厂产品和已经过测试实践，并保证其在正常操作环境下的长期服务质量和稳定性能。有关产品必须符合国家标准和行业标准，符合招标文件规定的环保等验收要求，招标人在验收时可进行抽样破坏性检测。</w:t>
      </w:r>
    </w:p>
    <w:p>
      <w:pPr>
        <w:spacing w:before="156" w:beforeLines="50" w:line="340" w:lineRule="exact"/>
        <w:ind w:firstLine="420" w:firstLineChars="200"/>
        <w:rPr>
          <w:rFonts w:ascii="宋体" w:hAnsi="宋体"/>
          <w:szCs w:val="21"/>
          <w:highlight w:val="none"/>
        </w:rPr>
      </w:pPr>
      <w:r>
        <w:rPr>
          <w:rFonts w:hint="eastAsia" w:ascii="宋体" w:hAnsi="宋体"/>
          <w:szCs w:val="21"/>
          <w:highlight w:val="none"/>
        </w:rPr>
        <w:t>2.2.6投标人完成本合同项下工作的同时接受招标人的督导，确保在达成招标人满意和合同规定的要求完成所有下的必需事项或工作。</w:t>
      </w:r>
    </w:p>
    <w:p>
      <w:pPr>
        <w:spacing w:before="156" w:beforeLines="50" w:line="340" w:lineRule="exact"/>
        <w:ind w:firstLine="420" w:firstLineChars="200"/>
        <w:rPr>
          <w:rFonts w:ascii="宋体" w:hAnsi="宋体"/>
          <w:szCs w:val="21"/>
          <w:highlight w:val="none"/>
        </w:rPr>
      </w:pPr>
      <w:r>
        <w:rPr>
          <w:rFonts w:hint="eastAsia" w:ascii="宋体" w:hAnsi="宋体"/>
          <w:szCs w:val="21"/>
          <w:highlight w:val="none"/>
        </w:rPr>
        <w:t>2.2.7承担施工安全保卫工作的责任和要求：做好文明施工、安全生产工作，确保施工质量。严格执行部、省颁技术规范和操作规程，妥善处理施工中发生的民事争议或纠纷。</w:t>
      </w:r>
    </w:p>
    <w:p>
      <w:pPr>
        <w:spacing w:before="156" w:beforeLines="50" w:line="340" w:lineRule="exact"/>
        <w:ind w:firstLine="420" w:firstLineChars="200"/>
        <w:rPr>
          <w:rFonts w:ascii="宋体" w:hAnsi="宋体"/>
          <w:szCs w:val="21"/>
          <w:highlight w:val="none"/>
        </w:rPr>
      </w:pPr>
      <w:r>
        <w:rPr>
          <w:rFonts w:hint="eastAsia" w:ascii="宋体" w:hAnsi="宋体"/>
          <w:szCs w:val="21"/>
          <w:highlight w:val="none"/>
        </w:rPr>
        <w:t>2.2.8施工场地清洁卫生的要求：及时做好施工退场后的场地清洁工作。</w:t>
      </w:r>
    </w:p>
    <w:p>
      <w:pPr>
        <w:spacing w:before="156" w:beforeLines="50" w:line="340" w:lineRule="exact"/>
        <w:ind w:firstLine="420" w:firstLineChars="200"/>
        <w:rPr>
          <w:rFonts w:ascii="宋体" w:hAnsi="宋体"/>
          <w:szCs w:val="21"/>
          <w:highlight w:val="none"/>
        </w:rPr>
      </w:pPr>
      <w:r>
        <w:rPr>
          <w:rFonts w:hint="eastAsia" w:ascii="宋体" w:hAnsi="宋体"/>
          <w:szCs w:val="21"/>
          <w:highlight w:val="none"/>
        </w:rPr>
        <w:t>2.2.9施工现场成品保护：招标人应做好对施工现场所有的成品的保护工作，如发现造成损坏，招标人应承担相应责任。</w:t>
      </w:r>
      <w:bookmarkStart w:id="86" w:name="_Toc438042787"/>
      <w:bookmarkStart w:id="87" w:name="_Toc447182445"/>
    </w:p>
    <w:p>
      <w:pPr>
        <w:spacing w:before="156" w:beforeLines="50" w:line="340" w:lineRule="exact"/>
        <w:ind w:firstLine="420" w:firstLineChars="200"/>
        <w:rPr>
          <w:rFonts w:ascii="宋体" w:hAnsi="宋体"/>
          <w:szCs w:val="21"/>
          <w:highlight w:val="none"/>
        </w:rPr>
      </w:pPr>
      <w:r>
        <w:rPr>
          <w:rFonts w:hint="eastAsia" w:ascii="宋体" w:hAnsi="宋体"/>
          <w:szCs w:val="21"/>
          <w:highlight w:val="none"/>
        </w:rPr>
        <w:t>2.2.10.所有背靠墙体的柜体需密封到顶，特殊用途或装饰用柜除外。</w:t>
      </w:r>
    </w:p>
    <w:p>
      <w:pPr>
        <w:spacing w:before="156" w:beforeLines="50" w:line="340" w:lineRule="exact"/>
        <w:rPr>
          <w:rFonts w:ascii="宋体" w:hAnsi="宋体"/>
          <w:b/>
          <w:bCs/>
          <w:szCs w:val="21"/>
          <w:highlight w:val="none"/>
        </w:rPr>
      </w:pPr>
      <w:r>
        <w:rPr>
          <w:rFonts w:hint="eastAsia" w:ascii="宋体" w:hAnsi="宋体"/>
          <w:b/>
          <w:szCs w:val="21"/>
          <w:highlight w:val="none"/>
        </w:rPr>
        <w:t xml:space="preserve">  2.3</w:t>
      </w:r>
      <w:r>
        <w:rPr>
          <w:rFonts w:hint="eastAsia" w:ascii="宋体" w:hAnsi="宋体"/>
          <w:bCs/>
          <w:szCs w:val="21"/>
          <w:highlight w:val="none"/>
        </w:rPr>
        <w:t xml:space="preserve"> </w:t>
      </w:r>
      <w:r>
        <w:rPr>
          <w:rFonts w:hint="eastAsia" w:ascii="宋体" w:hAnsi="宋体"/>
          <w:b/>
          <w:bCs/>
          <w:szCs w:val="21"/>
          <w:highlight w:val="none"/>
        </w:rPr>
        <w:t>安装响应要求</w:t>
      </w:r>
      <w:bookmarkEnd w:id="86"/>
      <w:bookmarkEnd w:id="87"/>
    </w:p>
    <w:p>
      <w:pPr>
        <w:spacing w:before="156" w:beforeLines="50" w:line="340" w:lineRule="exact"/>
        <w:ind w:firstLine="420" w:firstLineChars="200"/>
        <w:rPr>
          <w:rFonts w:ascii="宋体" w:hAnsi="宋体"/>
          <w:szCs w:val="21"/>
          <w:highlight w:val="none"/>
        </w:rPr>
      </w:pPr>
      <w:r>
        <w:rPr>
          <w:rFonts w:hint="eastAsia" w:ascii="宋体" w:hAnsi="宋体"/>
          <w:szCs w:val="21"/>
          <w:highlight w:val="none"/>
        </w:rPr>
        <w:t>2.3</w:t>
      </w:r>
      <w:r>
        <w:rPr>
          <w:rFonts w:ascii="宋体" w:hAnsi="宋体"/>
          <w:szCs w:val="21"/>
          <w:highlight w:val="none"/>
        </w:rPr>
        <w:t>.1</w:t>
      </w:r>
      <w:r>
        <w:rPr>
          <w:rFonts w:hint="eastAsia" w:ascii="宋体" w:hAnsi="宋体"/>
          <w:szCs w:val="21"/>
          <w:highlight w:val="none"/>
        </w:rPr>
        <w:t>中标人接到招标人供货通知书之日起30个日历日内将货物交到招标人指定地点并安装调试完毕。安装工程期间中标人须确定联系人员和电话，以便双方及时沟通；如有变更，应及时通知招标人。在施工安装过程中，对招标人提出的需求变更要求，中标人应尽最快速度，以书面形式给予确认。</w:t>
      </w:r>
    </w:p>
    <w:p>
      <w:pPr>
        <w:spacing w:before="156" w:beforeLines="50" w:line="340" w:lineRule="exact"/>
        <w:ind w:firstLine="420" w:firstLineChars="200"/>
        <w:rPr>
          <w:rFonts w:ascii="宋体" w:hAnsi="宋体"/>
          <w:szCs w:val="21"/>
          <w:highlight w:val="none"/>
        </w:rPr>
      </w:pPr>
      <w:r>
        <w:rPr>
          <w:rFonts w:hint="eastAsia" w:ascii="宋体" w:hAnsi="宋体"/>
          <w:szCs w:val="21"/>
          <w:highlight w:val="none"/>
        </w:rPr>
        <w:t>2.3.2项目功能需求或服务基本要求：配送安装人员专业技能必须娴熟，能够很灵活地掌握各类家具的组装功能，提出具有建设性的建议与意见，有问题能立马找出并解决；供应商必须有自己的一套内部管理模式，有较完整的内部管理体系；服务态度端正，能及时解决产品需求。</w:t>
      </w:r>
    </w:p>
    <w:p>
      <w:pPr>
        <w:spacing w:before="156" w:beforeLines="50" w:line="340" w:lineRule="exact"/>
        <w:ind w:firstLine="420" w:firstLineChars="200"/>
        <w:rPr>
          <w:rFonts w:ascii="宋体" w:hAnsi="宋体"/>
          <w:szCs w:val="21"/>
          <w:highlight w:val="none"/>
        </w:rPr>
      </w:pPr>
      <w:r>
        <w:rPr>
          <w:rFonts w:hint="eastAsia" w:ascii="宋体" w:hAnsi="宋体"/>
          <w:szCs w:val="21"/>
          <w:highlight w:val="none"/>
        </w:rPr>
        <w:t>2.3.3若招标人要求延迟交货的，中标人须做好货物保管工作，并在接到招标人通知后3个日历日内到场安装。</w:t>
      </w:r>
    </w:p>
    <w:p>
      <w:pPr>
        <w:spacing w:before="156" w:beforeLines="50" w:line="340" w:lineRule="exact"/>
        <w:ind w:firstLine="420" w:firstLineChars="200"/>
        <w:rPr>
          <w:rFonts w:ascii="宋体" w:hAnsi="宋体"/>
          <w:szCs w:val="21"/>
          <w:highlight w:val="none"/>
        </w:rPr>
      </w:pPr>
      <w:r>
        <w:rPr>
          <w:rFonts w:hint="eastAsia" w:ascii="宋体" w:hAnsi="宋体"/>
          <w:szCs w:val="21"/>
          <w:highlight w:val="none"/>
        </w:rPr>
        <w:t>2.3.4双方约定中标人应做的其他工作。</w:t>
      </w:r>
    </w:p>
    <w:p>
      <w:pPr>
        <w:pStyle w:val="2"/>
        <w:ind w:firstLine="201"/>
        <w:rPr>
          <w:rFonts w:ascii="宋体"/>
          <w:szCs w:val="21"/>
          <w:highlight w:val="none"/>
        </w:rPr>
      </w:pPr>
    </w:p>
    <w:p>
      <w:pPr>
        <w:pStyle w:val="2"/>
        <w:ind w:firstLine="201"/>
        <w:rPr>
          <w:rFonts w:ascii="宋体" w:eastAsia="宋体"/>
          <w:szCs w:val="21"/>
          <w:highlight w:val="none"/>
        </w:rPr>
      </w:pPr>
      <w:r>
        <w:rPr>
          <w:rFonts w:hint="eastAsia" w:ascii="宋体"/>
          <w:szCs w:val="21"/>
          <w:highlight w:val="none"/>
        </w:rPr>
        <w:t xml:space="preserve">  2.4</w:t>
      </w:r>
      <w:r>
        <w:rPr>
          <w:rFonts w:hint="eastAsia" w:ascii="宋体" w:eastAsia="宋体"/>
          <w:szCs w:val="21"/>
          <w:highlight w:val="none"/>
        </w:rPr>
        <w:t>验收服务要求</w:t>
      </w:r>
    </w:p>
    <w:p>
      <w:pPr>
        <w:spacing w:before="156" w:beforeLines="50" w:line="340" w:lineRule="exact"/>
        <w:ind w:firstLine="420" w:firstLineChars="200"/>
        <w:rPr>
          <w:rFonts w:ascii="宋体" w:hAnsi="宋体"/>
          <w:szCs w:val="21"/>
          <w:highlight w:val="none"/>
        </w:rPr>
      </w:pPr>
      <w:r>
        <w:rPr>
          <w:rFonts w:hint="eastAsia" w:ascii="宋体" w:hAnsi="宋体"/>
          <w:szCs w:val="21"/>
          <w:highlight w:val="none"/>
        </w:rPr>
        <w:t xml:space="preserve">2.4.1验收分为招标人初步验收和检测机构及相关主管部门最终验收。 </w:t>
      </w:r>
    </w:p>
    <w:p>
      <w:pPr>
        <w:spacing w:before="156" w:beforeLines="50" w:line="340" w:lineRule="exact"/>
        <w:ind w:firstLine="420" w:firstLineChars="200"/>
        <w:rPr>
          <w:rFonts w:ascii="宋体" w:hAnsi="宋体"/>
          <w:szCs w:val="21"/>
          <w:highlight w:val="none"/>
        </w:rPr>
      </w:pPr>
      <w:r>
        <w:rPr>
          <w:rFonts w:hint="eastAsia" w:ascii="宋体" w:hAnsi="宋体"/>
          <w:szCs w:val="21"/>
          <w:highlight w:val="none"/>
        </w:rPr>
        <w:t>2.4.2招标人在中标人通知安装调试完毕后5天内完成验收。货物安装调试完成后5天内，招标人无故不进行验收工作并已使用货物的，视同已安装调试完成并验收合格。</w:t>
      </w:r>
    </w:p>
    <w:p>
      <w:pPr>
        <w:spacing w:before="156" w:beforeLines="50" w:line="340" w:lineRule="exact"/>
        <w:ind w:firstLine="420" w:firstLineChars="200"/>
        <w:rPr>
          <w:rFonts w:ascii="宋体" w:hAnsi="宋体"/>
          <w:szCs w:val="21"/>
          <w:highlight w:val="none"/>
        </w:rPr>
      </w:pPr>
      <w:r>
        <w:rPr>
          <w:rFonts w:hint="eastAsia" w:ascii="宋体" w:hAnsi="宋体"/>
          <w:szCs w:val="21"/>
          <w:highlight w:val="none"/>
        </w:rPr>
        <w:t>2.4.3验收由招标人组织，中标人配合进行。如质量验收合格，双方签署初步质量验收报告。初步验收完成后，中标人向主管部门申请验收，招标人配合进行最终验收并签认验收结论文件。</w:t>
      </w:r>
    </w:p>
    <w:p>
      <w:pPr>
        <w:spacing w:before="156" w:beforeLines="50" w:line="340" w:lineRule="exact"/>
        <w:ind w:firstLine="420" w:firstLineChars="200"/>
        <w:rPr>
          <w:rFonts w:ascii="宋体" w:hAnsi="宋体"/>
          <w:szCs w:val="21"/>
          <w:highlight w:val="none"/>
        </w:rPr>
      </w:pPr>
      <w:r>
        <w:rPr>
          <w:rFonts w:hint="eastAsia" w:ascii="宋体" w:hAnsi="宋体"/>
          <w:szCs w:val="21"/>
          <w:highlight w:val="none"/>
        </w:rPr>
        <w:t>2.4.4中标人应在签订合同时提供符合采购要求的家具原始板材样板，待家具生产安装完毕后，招标人将成品与样板对照，不合格的产品不予验收。</w:t>
      </w:r>
    </w:p>
    <w:p>
      <w:pPr>
        <w:spacing w:before="156" w:beforeLines="50" w:line="340" w:lineRule="exact"/>
        <w:ind w:firstLine="420" w:firstLineChars="200"/>
        <w:rPr>
          <w:rFonts w:ascii="宋体" w:hAnsi="宋体"/>
          <w:szCs w:val="21"/>
          <w:highlight w:val="none"/>
        </w:rPr>
      </w:pPr>
      <w:r>
        <w:rPr>
          <w:rFonts w:hint="eastAsia" w:ascii="宋体" w:hAnsi="宋体"/>
          <w:szCs w:val="21"/>
          <w:highlight w:val="none"/>
        </w:rPr>
        <w:t xml:space="preserve">2.4.5如货物经中标人两次维修仍不能达到合同约定的质量标准，招标人有权退货。 </w:t>
      </w:r>
    </w:p>
    <w:p>
      <w:pPr>
        <w:spacing w:before="156" w:beforeLines="50" w:line="340" w:lineRule="exact"/>
        <w:ind w:firstLine="420" w:firstLineChars="200"/>
        <w:rPr>
          <w:rFonts w:ascii="宋体" w:hAnsi="宋体"/>
          <w:szCs w:val="21"/>
          <w:highlight w:val="none"/>
        </w:rPr>
      </w:pPr>
      <w:r>
        <w:rPr>
          <w:rFonts w:hint="eastAsia" w:ascii="宋体" w:hAnsi="宋体"/>
          <w:szCs w:val="21"/>
          <w:highlight w:val="none"/>
        </w:rPr>
        <w:t xml:space="preserve">2.4.6如工程质量验收不合格，中标人必须按照招标人要求实施返工直至合格，由此增加的一切费用由中标人承担。 </w:t>
      </w:r>
      <w:bookmarkStart w:id="88" w:name="_Toc447182447"/>
    </w:p>
    <w:p>
      <w:pPr>
        <w:spacing w:before="156" w:beforeLines="50" w:line="340" w:lineRule="exact"/>
        <w:rPr>
          <w:rFonts w:ascii="宋体" w:hAnsi="宋体"/>
          <w:b/>
          <w:bCs/>
          <w:szCs w:val="21"/>
          <w:highlight w:val="none"/>
        </w:rPr>
      </w:pPr>
      <w:r>
        <w:rPr>
          <w:rFonts w:hint="eastAsia" w:ascii="宋体" w:hAnsi="宋体"/>
          <w:b/>
          <w:szCs w:val="21"/>
          <w:highlight w:val="none"/>
        </w:rPr>
        <w:t xml:space="preserve">  2.5</w:t>
      </w:r>
      <w:r>
        <w:rPr>
          <w:rFonts w:hint="eastAsia" w:ascii="宋体" w:hAnsi="宋体"/>
          <w:b/>
          <w:bCs/>
          <w:szCs w:val="21"/>
          <w:highlight w:val="none"/>
        </w:rPr>
        <w:t>售后服务要求</w:t>
      </w:r>
      <w:bookmarkEnd w:id="88"/>
      <w:r>
        <w:rPr>
          <w:rFonts w:hint="eastAsia" w:ascii="宋体" w:hAnsi="宋体"/>
          <w:b/>
          <w:bCs/>
          <w:szCs w:val="21"/>
          <w:highlight w:val="none"/>
        </w:rPr>
        <w:t xml:space="preserve"> </w:t>
      </w:r>
    </w:p>
    <w:p>
      <w:pPr>
        <w:spacing w:before="156" w:beforeLines="50" w:line="340" w:lineRule="exact"/>
        <w:ind w:firstLine="420" w:firstLineChars="200"/>
        <w:rPr>
          <w:rFonts w:ascii="宋体" w:hAnsi="宋体"/>
          <w:szCs w:val="21"/>
          <w:highlight w:val="none"/>
        </w:rPr>
      </w:pPr>
      <w:r>
        <w:rPr>
          <w:rFonts w:hint="eastAsia" w:ascii="宋体" w:hAnsi="宋体"/>
          <w:szCs w:val="21"/>
          <w:highlight w:val="none"/>
        </w:rPr>
        <w:t xml:space="preserve">2.5.1 保修期要求：五年，自竣工验收合格之日起计算。 </w:t>
      </w:r>
    </w:p>
    <w:p>
      <w:pPr>
        <w:spacing w:before="156" w:beforeLines="50" w:line="340" w:lineRule="exact"/>
        <w:ind w:firstLine="420" w:firstLineChars="200"/>
        <w:rPr>
          <w:rFonts w:ascii="宋体" w:hAnsi="宋体"/>
          <w:szCs w:val="21"/>
          <w:highlight w:val="none"/>
        </w:rPr>
      </w:pPr>
      <w:r>
        <w:rPr>
          <w:rFonts w:hint="eastAsia" w:ascii="宋体" w:hAnsi="宋体"/>
          <w:szCs w:val="21"/>
          <w:highlight w:val="none"/>
        </w:rPr>
        <w:t>2.5.2在质保期内因投标人责任而产生的质量问题，由其负责无偿返修。不能维修的，整件免费更换。人为原因造成的损坏只收配件费不收人工费。超过免费维保期后三年内免收上门费（只收工料费）。</w:t>
      </w:r>
    </w:p>
    <w:p>
      <w:pPr>
        <w:spacing w:before="156" w:beforeLines="50" w:line="340" w:lineRule="exact"/>
        <w:ind w:firstLine="420" w:firstLineChars="200"/>
        <w:rPr>
          <w:rFonts w:ascii="宋体" w:hAnsi="宋体"/>
          <w:szCs w:val="21"/>
          <w:highlight w:val="none"/>
        </w:rPr>
      </w:pPr>
      <w:r>
        <w:rPr>
          <w:rFonts w:hint="eastAsia" w:ascii="宋体" w:hAnsi="宋体"/>
          <w:szCs w:val="21"/>
          <w:highlight w:val="none"/>
        </w:rPr>
        <w:t>2.5.3投标人必须提供24小时电话服务热线，保证在接到故障电话后4小时到场，并在24小时内修复。</w:t>
      </w:r>
    </w:p>
    <w:p>
      <w:pPr>
        <w:spacing w:before="156" w:beforeLines="50" w:line="340" w:lineRule="exact"/>
        <w:ind w:firstLine="420" w:firstLineChars="200"/>
        <w:rPr>
          <w:rFonts w:ascii="宋体" w:hAnsi="宋体"/>
          <w:szCs w:val="21"/>
          <w:highlight w:val="none"/>
        </w:rPr>
      </w:pPr>
      <w:r>
        <w:rPr>
          <w:rFonts w:hint="eastAsia" w:ascii="宋体" w:hAnsi="宋体"/>
          <w:szCs w:val="21"/>
          <w:highlight w:val="none"/>
        </w:rPr>
        <w:t>2.5.4在质保期内，中标供应商须对所提供的设备做定期检查和保养。</w:t>
      </w:r>
      <w:bookmarkStart w:id="89" w:name="_Toc447182448"/>
    </w:p>
    <w:p>
      <w:pPr>
        <w:spacing w:before="156" w:beforeLines="50" w:line="340" w:lineRule="exact"/>
        <w:rPr>
          <w:rFonts w:ascii="宋体" w:hAnsi="宋体"/>
          <w:b/>
          <w:bCs/>
          <w:szCs w:val="21"/>
          <w:highlight w:val="none"/>
        </w:rPr>
      </w:pPr>
      <w:r>
        <w:rPr>
          <w:rFonts w:hint="eastAsia" w:ascii="宋体" w:hAnsi="宋体"/>
          <w:b/>
          <w:bCs/>
          <w:szCs w:val="21"/>
          <w:highlight w:val="none"/>
        </w:rPr>
        <w:t xml:space="preserve">   2.6付款要求</w:t>
      </w:r>
      <w:bookmarkEnd w:id="89"/>
      <w:r>
        <w:rPr>
          <w:rFonts w:hint="eastAsia" w:ascii="宋体" w:hAnsi="宋体"/>
          <w:b/>
          <w:bCs/>
          <w:szCs w:val="21"/>
          <w:highlight w:val="none"/>
        </w:rPr>
        <w:t>：</w:t>
      </w:r>
    </w:p>
    <w:p>
      <w:pPr>
        <w:spacing w:before="156" w:beforeLines="50" w:line="340" w:lineRule="exact"/>
        <w:ind w:firstLine="415" w:firstLineChars="198"/>
        <w:rPr>
          <w:highlight w:val="none"/>
        </w:rPr>
      </w:pPr>
      <w:r>
        <w:rPr>
          <w:rFonts w:hint="eastAsia" w:ascii="宋体" w:hAnsi="宋体"/>
          <w:bCs/>
          <w:szCs w:val="21"/>
          <w:highlight w:val="none"/>
        </w:rPr>
        <w:t>2.6</w:t>
      </w:r>
      <w:r>
        <w:rPr>
          <w:rFonts w:hint="eastAsia" w:ascii="宋体" w:hAnsi="宋体"/>
          <w:szCs w:val="21"/>
          <w:highlight w:val="none"/>
        </w:rPr>
        <w:t>.1供货方必须向招标人开具增值税专用发票。</w:t>
      </w:r>
      <w:bookmarkEnd w:id="84"/>
      <w:bookmarkEnd w:id="85"/>
      <w:bookmarkStart w:id="90" w:name="_Toc447182449"/>
      <w:bookmarkEnd w:id="90"/>
      <w:bookmarkStart w:id="91" w:name="_Toc361675353"/>
      <w:bookmarkEnd w:id="91"/>
      <w:bookmarkStart w:id="92" w:name="_Toc438042789"/>
      <w:bookmarkEnd w:id="92"/>
    </w:p>
    <w:p>
      <w:pPr>
        <w:pStyle w:val="53"/>
        <w:spacing w:line="360" w:lineRule="auto"/>
        <w:rPr>
          <w:rFonts w:ascii="宋体" w:hAnsi="宋体" w:cs="宋体"/>
          <w:sz w:val="24"/>
          <w:szCs w:val="24"/>
          <w:highlight w:val="none"/>
        </w:rPr>
        <w:sectPr>
          <w:headerReference r:id="rId7" w:type="default"/>
          <w:footerReference r:id="rId8" w:type="default"/>
          <w:pgSz w:w="11906" w:h="16838"/>
          <w:pgMar w:top="1474" w:right="1588" w:bottom="1440" w:left="1588" w:header="851" w:footer="992" w:gutter="0"/>
          <w:cols w:space="720" w:num="1"/>
          <w:docGrid w:type="lines" w:linePitch="312" w:charSpace="0"/>
        </w:sectPr>
      </w:pPr>
    </w:p>
    <w:p>
      <w:pPr>
        <w:pStyle w:val="6"/>
        <w:keepNext w:val="0"/>
        <w:keepLines w:val="0"/>
        <w:spacing w:line="360" w:lineRule="auto"/>
        <w:jc w:val="center"/>
        <w:rPr>
          <w:rFonts w:ascii="宋体" w:hAnsi="宋体"/>
          <w:highlight w:val="none"/>
        </w:rPr>
      </w:pPr>
      <w:bookmarkStart w:id="93" w:name="_Toc8034"/>
      <w:bookmarkStart w:id="94" w:name="_Toc18582"/>
      <w:bookmarkStart w:id="95" w:name="_Toc12356"/>
      <w:bookmarkStart w:id="96" w:name="_Toc19764"/>
      <w:r>
        <w:rPr>
          <w:rFonts w:hint="eastAsia" w:ascii="宋体" w:hAnsi="宋体"/>
          <w:highlight w:val="none"/>
        </w:rPr>
        <w:t>第四章 合同</w:t>
      </w:r>
      <w:bookmarkEnd w:id="73"/>
      <w:bookmarkEnd w:id="74"/>
      <w:bookmarkEnd w:id="75"/>
      <w:bookmarkEnd w:id="76"/>
      <w:bookmarkEnd w:id="77"/>
      <w:bookmarkEnd w:id="78"/>
      <w:bookmarkEnd w:id="79"/>
      <w:r>
        <w:rPr>
          <w:rFonts w:hint="eastAsia" w:ascii="宋体" w:hAnsi="宋体"/>
          <w:highlight w:val="none"/>
        </w:rPr>
        <w:t>格式</w:t>
      </w:r>
      <w:bookmarkEnd w:id="93"/>
      <w:bookmarkEnd w:id="94"/>
      <w:bookmarkEnd w:id="95"/>
      <w:bookmarkEnd w:id="96"/>
      <w:bookmarkStart w:id="97" w:name="_Toc475508005"/>
      <w:bookmarkStart w:id="98" w:name="_Toc475508050"/>
      <w:bookmarkStart w:id="99" w:name="_Toc476051240"/>
      <w:bookmarkStart w:id="100" w:name="_Toc475517265"/>
      <w:bookmarkStart w:id="101" w:name="_Toc447001735"/>
      <w:bookmarkStart w:id="102" w:name="_Toc475511279"/>
    </w:p>
    <w:p>
      <w:pPr>
        <w:jc w:val="center"/>
        <w:rPr>
          <w:rFonts w:ascii="宋体" w:hAnsi="宋体"/>
          <w:highlight w:val="none"/>
        </w:rPr>
      </w:pPr>
      <w:r>
        <w:rPr>
          <w:rFonts w:hint="eastAsia" w:ascii="宋体" w:hAnsi="宋体"/>
          <w:b/>
          <w:bCs/>
          <w:sz w:val="28"/>
          <w:szCs w:val="36"/>
          <w:highlight w:val="none"/>
        </w:rPr>
        <w:t>（另册）</w:t>
      </w: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pStyle w:val="53"/>
        <w:rPr>
          <w:rFonts w:ascii="宋体" w:hAnsi="宋体"/>
          <w:highlight w:val="none"/>
        </w:rPr>
      </w:pPr>
    </w:p>
    <w:p>
      <w:pPr>
        <w:pStyle w:val="53"/>
        <w:rPr>
          <w:rFonts w:ascii="宋体" w:hAnsi="宋体"/>
          <w:highlight w:val="none"/>
        </w:rPr>
        <w:sectPr>
          <w:pgSz w:w="11906" w:h="16838"/>
          <w:pgMar w:top="1474" w:right="1588" w:bottom="1440" w:left="1588" w:header="851" w:footer="992" w:gutter="0"/>
          <w:cols w:space="720" w:num="1"/>
          <w:docGrid w:type="lines" w:linePitch="312" w:charSpace="0"/>
        </w:sectPr>
      </w:pPr>
    </w:p>
    <w:p>
      <w:pPr>
        <w:pStyle w:val="6"/>
        <w:keepNext w:val="0"/>
        <w:keepLines w:val="0"/>
        <w:spacing w:line="360" w:lineRule="auto"/>
        <w:jc w:val="center"/>
        <w:rPr>
          <w:rFonts w:ascii="宋体" w:hAnsi="宋体"/>
          <w:sz w:val="30"/>
          <w:highlight w:val="none"/>
        </w:rPr>
      </w:pPr>
      <w:bookmarkStart w:id="103" w:name="_Toc23838"/>
      <w:bookmarkStart w:id="104" w:name="_Toc30836"/>
      <w:bookmarkStart w:id="105" w:name="_Toc1340"/>
      <w:bookmarkStart w:id="106" w:name="_Toc26439"/>
      <w:r>
        <w:rPr>
          <w:rFonts w:hint="eastAsia" w:ascii="宋体" w:hAnsi="宋体"/>
          <w:highlight w:val="none"/>
        </w:rPr>
        <w:t>第五章 投标文件</w:t>
      </w:r>
      <w:bookmarkEnd w:id="97"/>
      <w:bookmarkEnd w:id="98"/>
      <w:bookmarkEnd w:id="99"/>
      <w:bookmarkEnd w:id="100"/>
      <w:bookmarkEnd w:id="101"/>
      <w:bookmarkEnd w:id="102"/>
      <w:r>
        <w:rPr>
          <w:rFonts w:hint="eastAsia" w:ascii="宋体" w:hAnsi="宋体"/>
          <w:highlight w:val="none"/>
        </w:rPr>
        <w:t>（格式）</w:t>
      </w:r>
      <w:bookmarkEnd w:id="103"/>
      <w:bookmarkEnd w:id="104"/>
      <w:bookmarkEnd w:id="105"/>
      <w:bookmarkEnd w:id="106"/>
    </w:p>
    <w:p>
      <w:pPr>
        <w:pStyle w:val="10"/>
        <w:rPr>
          <w:highlight w:val="none"/>
        </w:rPr>
      </w:pPr>
    </w:p>
    <w:p>
      <w:pPr>
        <w:pStyle w:val="10"/>
        <w:ind w:firstLine="2891"/>
        <w:rPr>
          <w:highlight w:val="none"/>
        </w:rPr>
      </w:pPr>
    </w:p>
    <w:p>
      <w:pPr>
        <w:pStyle w:val="10"/>
        <w:ind w:firstLine="2891"/>
        <w:rPr>
          <w:highlight w:val="none"/>
        </w:rPr>
      </w:pPr>
    </w:p>
    <w:p>
      <w:pPr>
        <w:pStyle w:val="10"/>
        <w:ind w:firstLine="2891"/>
        <w:rPr>
          <w:highlight w:val="none"/>
        </w:rPr>
      </w:pPr>
    </w:p>
    <w:p>
      <w:pPr>
        <w:pStyle w:val="10"/>
        <w:ind w:firstLine="2891"/>
        <w:rPr>
          <w:highlight w:val="none"/>
        </w:rPr>
      </w:pPr>
    </w:p>
    <w:p>
      <w:pPr>
        <w:pStyle w:val="10"/>
        <w:ind w:firstLine="2891"/>
        <w:rPr>
          <w:highlight w:val="none"/>
        </w:rPr>
      </w:pPr>
    </w:p>
    <w:p>
      <w:pPr>
        <w:pStyle w:val="10"/>
        <w:ind w:firstLine="2891"/>
        <w:rPr>
          <w:highlight w:val="none"/>
        </w:rPr>
      </w:pPr>
    </w:p>
    <w:p>
      <w:pPr>
        <w:pStyle w:val="10"/>
        <w:ind w:firstLine="2891"/>
        <w:rPr>
          <w:highlight w:val="none"/>
        </w:rPr>
      </w:pPr>
    </w:p>
    <w:p>
      <w:pPr>
        <w:pStyle w:val="10"/>
        <w:ind w:firstLine="2891"/>
        <w:rPr>
          <w:highlight w:val="none"/>
        </w:rPr>
      </w:pPr>
    </w:p>
    <w:p>
      <w:pPr>
        <w:pStyle w:val="10"/>
        <w:ind w:firstLine="2891"/>
        <w:rPr>
          <w:highlight w:val="none"/>
        </w:rPr>
      </w:pPr>
    </w:p>
    <w:p>
      <w:pPr>
        <w:pStyle w:val="10"/>
        <w:ind w:firstLine="2891"/>
        <w:rPr>
          <w:highlight w:val="none"/>
        </w:rPr>
      </w:pPr>
    </w:p>
    <w:p>
      <w:pPr>
        <w:pStyle w:val="10"/>
        <w:ind w:firstLine="2891"/>
        <w:rPr>
          <w:highlight w:val="none"/>
        </w:rPr>
      </w:pPr>
    </w:p>
    <w:p>
      <w:pPr>
        <w:pStyle w:val="10"/>
        <w:ind w:firstLine="2891"/>
        <w:rPr>
          <w:highlight w:val="none"/>
        </w:rPr>
      </w:pPr>
    </w:p>
    <w:p>
      <w:pPr>
        <w:pStyle w:val="10"/>
        <w:ind w:firstLine="2891"/>
        <w:rPr>
          <w:highlight w:val="none"/>
        </w:rPr>
      </w:pPr>
    </w:p>
    <w:p>
      <w:pPr>
        <w:pStyle w:val="10"/>
        <w:ind w:firstLine="2891"/>
        <w:rPr>
          <w:highlight w:val="none"/>
        </w:rPr>
      </w:pPr>
    </w:p>
    <w:p>
      <w:pPr>
        <w:pStyle w:val="10"/>
        <w:ind w:firstLine="2891"/>
        <w:rPr>
          <w:highlight w:val="none"/>
        </w:rPr>
      </w:pPr>
    </w:p>
    <w:p>
      <w:pPr>
        <w:pStyle w:val="10"/>
        <w:ind w:firstLine="2891"/>
        <w:rPr>
          <w:highlight w:val="none"/>
        </w:rPr>
      </w:pPr>
    </w:p>
    <w:p>
      <w:pPr>
        <w:pStyle w:val="10"/>
        <w:ind w:firstLine="2891"/>
        <w:rPr>
          <w:highlight w:val="none"/>
        </w:rPr>
      </w:pPr>
    </w:p>
    <w:p>
      <w:pPr>
        <w:pStyle w:val="10"/>
        <w:ind w:firstLine="2891"/>
        <w:rPr>
          <w:highlight w:val="none"/>
        </w:rPr>
      </w:pPr>
    </w:p>
    <w:p>
      <w:pPr>
        <w:pStyle w:val="10"/>
        <w:ind w:firstLine="2891"/>
        <w:rPr>
          <w:highlight w:val="none"/>
        </w:rPr>
      </w:pPr>
    </w:p>
    <w:p>
      <w:pPr>
        <w:pStyle w:val="10"/>
        <w:ind w:firstLine="2891"/>
        <w:rPr>
          <w:highlight w:val="none"/>
        </w:rPr>
      </w:pPr>
    </w:p>
    <w:p>
      <w:pPr>
        <w:pStyle w:val="10"/>
        <w:ind w:firstLine="2891"/>
        <w:rPr>
          <w:highlight w:val="none"/>
        </w:rPr>
      </w:pPr>
    </w:p>
    <w:p>
      <w:pPr>
        <w:pStyle w:val="10"/>
        <w:ind w:firstLine="2891"/>
        <w:rPr>
          <w:highlight w:val="none"/>
        </w:rPr>
      </w:pPr>
    </w:p>
    <w:p>
      <w:pPr>
        <w:pStyle w:val="10"/>
        <w:ind w:firstLine="2891"/>
        <w:rPr>
          <w:highlight w:val="none"/>
        </w:rPr>
      </w:pPr>
    </w:p>
    <w:p>
      <w:pPr>
        <w:pStyle w:val="10"/>
        <w:ind w:firstLine="2891"/>
        <w:rPr>
          <w:highlight w:val="none"/>
        </w:rPr>
      </w:pPr>
    </w:p>
    <w:p>
      <w:pPr>
        <w:pStyle w:val="10"/>
        <w:ind w:firstLine="2891"/>
        <w:rPr>
          <w:highlight w:val="none"/>
        </w:rPr>
      </w:pPr>
    </w:p>
    <w:p>
      <w:pPr>
        <w:pStyle w:val="10"/>
        <w:ind w:firstLine="2891"/>
        <w:rPr>
          <w:highlight w:val="none"/>
        </w:rPr>
      </w:pPr>
    </w:p>
    <w:p>
      <w:pPr>
        <w:pStyle w:val="10"/>
        <w:ind w:firstLine="2891"/>
        <w:rPr>
          <w:highlight w:val="none"/>
        </w:rPr>
      </w:pPr>
    </w:p>
    <w:p>
      <w:pPr>
        <w:pStyle w:val="10"/>
        <w:ind w:firstLine="2891"/>
        <w:rPr>
          <w:highlight w:val="none"/>
        </w:rPr>
      </w:pPr>
    </w:p>
    <w:p>
      <w:pPr>
        <w:pStyle w:val="10"/>
        <w:ind w:firstLine="2891"/>
        <w:rPr>
          <w:highlight w:val="none"/>
        </w:rPr>
      </w:pPr>
    </w:p>
    <w:p>
      <w:pPr>
        <w:spacing w:line="360" w:lineRule="auto"/>
        <w:jc w:val="center"/>
        <w:rPr>
          <w:rFonts w:ascii="宋体" w:hAnsi="宋体"/>
          <w:b/>
          <w:bCs/>
          <w:sz w:val="36"/>
          <w:highlight w:val="none"/>
        </w:rPr>
      </w:pPr>
      <w:bookmarkStart w:id="107" w:name="_Hlt475759987"/>
      <w:bookmarkEnd w:id="107"/>
      <w:bookmarkStart w:id="108" w:name="_Toc447001736"/>
      <w:bookmarkStart w:id="109" w:name="_Toc476051241"/>
      <w:r>
        <w:rPr>
          <w:rFonts w:ascii="宋体" w:hAnsi="宋体"/>
          <w:b/>
          <w:bCs/>
          <w:sz w:val="36"/>
          <w:highlight w:val="none"/>
        </w:rPr>
        <w:br w:type="page"/>
      </w:r>
      <w:r>
        <w:rPr>
          <w:rFonts w:hint="eastAsia" w:ascii="宋体" w:hAnsi="宋体"/>
          <w:b/>
          <w:bCs/>
          <w:sz w:val="36"/>
          <w:highlight w:val="none"/>
        </w:rPr>
        <w:t>特别提醒</w:t>
      </w:r>
    </w:p>
    <w:p>
      <w:pPr>
        <w:pStyle w:val="14"/>
        <w:numPr>
          <w:ilvl w:val="0"/>
          <w:numId w:val="5"/>
        </w:numPr>
        <w:rPr>
          <w:rFonts w:hAnsi="宋体"/>
          <w:sz w:val="24"/>
          <w:szCs w:val="20"/>
          <w:highlight w:val="none"/>
        </w:rPr>
      </w:pPr>
      <w:r>
        <w:rPr>
          <w:rFonts w:hint="eastAsia" w:hAnsi="宋体"/>
          <w:sz w:val="24"/>
          <w:szCs w:val="20"/>
          <w:highlight w:val="none"/>
        </w:rPr>
        <w:t>请投标人严格按照内容及要求编制投标文件，所有证书类文件或存在有效期的文件，提供的复印件须在有效期内；</w:t>
      </w:r>
    </w:p>
    <w:p>
      <w:pPr>
        <w:pStyle w:val="14"/>
        <w:numPr>
          <w:ilvl w:val="0"/>
          <w:numId w:val="5"/>
        </w:numPr>
        <w:rPr>
          <w:rFonts w:hAnsi="宋体"/>
          <w:sz w:val="24"/>
          <w:szCs w:val="20"/>
          <w:highlight w:val="none"/>
        </w:rPr>
      </w:pPr>
      <w:r>
        <w:rPr>
          <w:rFonts w:hint="eastAsia" w:hAnsi="宋体"/>
          <w:sz w:val="24"/>
          <w:szCs w:val="20"/>
          <w:highlight w:val="none"/>
        </w:rPr>
        <w:t>本章有提供格式的，需按格式进行编制，无提供格式的均为自拟；</w:t>
      </w:r>
    </w:p>
    <w:p>
      <w:pPr>
        <w:pStyle w:val="14"/>
        <w:numPr>
          <w:ilvl w:val="0"/>
          <w:numId w:val="5"/>
        </w:numPr>
        <w:rPr>
          <w:rFonts w:hAnsi="宋体"/>
          <w:sz w:val="24"/>
          <w:szCs w:val="20"/>
          <w:highlight w:val="none"/>
        </w:rPr>
      </w:pPr>
      <w:r>
        <w:rPr>
          <w:rFonts w:hint="eastAsia" w:hAnsi="宋体"/>
          <w:sz w:val="24"/>
          <w:szCs w:val="20"/>
          <w:highlight w:val="none"/>
        </w:rPr>
        <w:t>投标人应按顺序制作投标文件，并编写目录及页码。</w:t>
      </w:r>
    </w:p>
    <w:p>
      <w:pPr>
        <w:spacing w:line="360" w:lineRule="auto"/>
        <w:ind w:firstLine="3253" w:firstLineChars="900"/>
        <w:rPr>
          <w:rFonts w:ascii="宋体" w:hAnsi="宋体"/>
          <w:b/>
          <w:bCs/>
          <w:sz w:val="36"/>
          <w:highlight w:val="none"/>
        </w:rPr>
      </w:pPr>
    </w:p>
    <w:p>
      <w:pPr>
        <w:spacing w:line="360" w:lineRule="auto"/>
        <w:ind w:firstLine="3253" w:firstLineChars="900"/>
        <w:rPr>
          <w:rFonts w:ascii="宋体" w:hAnsi="宋体"/>
          <w:b/>
          <w:bCs/>
          <w:sz w:val="36"/>
          <w:highlight w:val="none"/>
        </w:rPr>
      </w:pPr>
    </w:p>
    <w:p>
      <w:pPr>
        <w:spacing w:line="360" w:lineRule="auto"/>
        <w:ind w:firstLine="3253" w:firstLineChars="900"/>
        <w:rPr>
          <w:rFonts w:ascii="宋体" w:hAnsi="宋体"/>
          <w:b/>
          <w:bCs/>
          <w:sz w:val="36"/>
          <w:highlight w:val="none"/>
        </w:rPr>
      </w:pPr>
    </w:p>
    <w:p>
      <w:pPr>
        <w:spacing w:line="360" w:lineRule="auto"/>
        <w:ind w:firstLine="3253" w:firstLineChars="900"/>
        <w:rPr>
          <w:rFonts w:ascii="宋体" w:hAnsi="宋体"/>
          <w:b/>
          <w:bCs/>
          <w:sz w:val="36"/>
          <w:highlight w:val="none"/>
        </w:rPr>
      </w:pPr>
    </w:p>
    <w:p>
      <w:pPr>
        <w:spacing w:line="360" w:lineRule="auto"/>
        <w:ind w:firstLine="3253" w:firstLineChars="900"/>
        <w:rPr>
          <w:rFonts w:ascii="宋体" w:hAnsi="宋体"/>
          <w:b/>
          <w:bCs/>
          <w:sz w:val="36"/>
          <w:highlight w:val="none"/>
        </w:rPr>
      </w:pPr>
    </w:p>
    <w:p>
      <w:pPr>
        <w:spacing w:line="360" w:lineRule="auto"/>
        <w:ind w:firstLine="3253" w:firstLineChars="900"/>
        <w:rPr>
          <w:rFonts w:ascii="宋体" w:hAnsi="宋体"/>
          <w:b/>
          <w:bCs/>
          <w:sz w:val="36"/>
          <w:highlight w:val="none"/>
        </w:rPr>
      </w:pPr>
    </w:p>
    <w:p>
      <w:pPr>
        <w:spacing w:line="360" w:lineRule="auto"/>
        <w:ind w:firstLine="3253" w:firstLineChars="900"/>
        <w:rPr>
          <w:rFonts w:ascii="宋体" w:hAnsi="宋体"/>
          <w:b/>
          <w:bCs/>
          <w:sz w:val="36"/>
          <w:highlight w:val="none"/>
        </w:rPr>
      </w:pPr>
    </w:p>
    <w:p>
      <w:pPr>
        <w:spacing w:line="360" w:lineRule="auto"/>
        <w:ind w:firstLine="3253" w:firstLineChars="900"/>
        <w:rPr>
          <w:rFonts w:ascii="宋体" w:hAnsi="宋体"/>
          <w:b/>
          <w:bCs/>
          <w:sz w:val="36"/>
          <w:highlight w:val="none"/>
        </w:rPr>
      </w:pPr>
    </w:p>
    <w:p>
      <w:pPr>
        <w:pStyle w:val="14"/>
        <w:rPr>
          <w:rFonts w:hAnsi="宋体"/>
          <w:b/>
          <w:bCs/>
          <w:sz w:val="36"/>
          <w:highlight w:val="none"/>
        </w:rPr>
      </w:pPr>
    </w:p>
    <w:p>
      <w:pPr>
        <w:rPr>
          <w:rFonts w:ascii="宋体" w:hAnsi="宋体"/>
          <w:b/>
          <w:bCs/>
          <w:sz w:val="36"/>
          <w:highlight w:val="none"/>
        </w:rPr>
      </w:pPr>
    </w:p>
    <w:p>
      <w:pPr>
        <w:pStyle w:val="14"/>
        <w:rPr>
          <w:rFonts w:hAnsi="宋体"/>
          <w:b/>
          <w:bCs/>
          <w:sz w:val="36"/>
          <w:highlight w:val="none"/>
        </w:rPr>
      </w:pPr>
    </w:p>
    <w:p>
      <w:pPr>
        <w:rPr>
          <w:rFonts w:ascii="宋体" w:hAnsi="宋体"/>
          <w:b/>
          <w:bCs/>
          <w:sz w:val="36"/>
          <w:highlight w:val="none"/>
        </w:rPr>
      </w:pPr>
    </w:p>
    <w:p>
      <w:pPr>
        <w:pStyle w:val="14"/>
        <w:rPr>
          <w:rFonts w:hAnsi="宋体"/>
          <w:b/>
          <w:bCs/>
          <w:sz w:val="36"/>
          <w:highlight w:val="none"/>
        </w:rPr>
      </w:pPr>
    </w:p>
    <w:p>
      <w:pPr>
        <w:rPr>
          <w:rFonts w:ascii="宋体" w:hAnsi="宋体"/>
          <w:b/>
          <w:bCs/>
          <w:sz w:val="36"/>
          <w:highlight w:val="none"/>
        </w:rPr>
      </w:pPr>
    </w:p>
    <w:p>
      <w:pPr>
        <w:pStyle w:val="14"/>
        <w:rPr>
          <w:highlight w:val="none"/>
        </w:rPr>
      </w:pPr>
    </w:p>
    <w:p>
      <w:pPr>
        <w:spacing w:line="360" w:lineRule="auto"/>
        <w:ind w:firstLine="3253" w:firstLineChars="900"/>
        <w:rPr>
          <w:rFonts w:ascii="宋体" w:hAnsi="宋体"/>
          <w:b/>
          <w:bCs/>
          <w:sz w:val="36"/>
          <w:highlight w:val="none"/>
        </w:rPr>
      </w:pPr>
    </w:p>
    <w:p>
      <w:pPr>
        <w:spacing w:line="360" w:lineRule="auto"/>
        <w:ind w:firstLine="3253" w:firstLineChars="900"/>
        <w:rPr>
          <w:rFonts w:ascii="宋体" w:hAnsi="宋体"/>
          <w:b/>
          <w:bCs/>
          <w:sz w:val="36"/>
          <w:highlight w:val="none"/>
        </w:rPr>
      </w:pPr>
    </w:p>
    <w:p>
      <w:pPr>
        <w:spacing w:line="360" w:lineRule="auto"/>
        <w:ind w:firstLine="3253" w:firstLineChars="900"/>
        <w:rPr>
          <w:rFonts w:ascii="宋体" w:hAnsi="宋体"/>
          <w:b/>
          <w:bCs/>
          <w:sz w:val="36"/>
          <w:highlight w:val="none"/>
        </w:rPr>
      </w:pPr>
    </w:p>
    <w:p>
      <w:pPr>
        <w:spacing w:line="360" w:lineRule="auto"/>
        <w:ind w:firstLine="3253" w:firstLineChars="900"/>
        <w:rPr>
          <w:rFonts w:ascii="宋体" w:hAnsi="宋体"/>
          <w:b/>
          <w:bCs/>
          <w:sz w:val="36"/>
          <w:highlight w:val="none"/>
        </w:rPr>
      </w:pPr>
    </w:p>
    <w:p>
      <w:pPr>
        <w:spacing w:line="360" w:lineRule="auto"/>
        <w:ind w:firstLine="3253" w:firstLineChars="900"/>
        <w:rPr>
          <w:rFonts w:ascii="宋体" w:hAnsi="宋体"/>
          <w:b/>
          <w:bCs/>
          <w:sz w:val="36"/>
          <w:highlight w:val="none"/>
        </w:rPr>
      </w:pPr>
    </w:p>
    <w:bookmarkEnd w:id="108"/>
    <w:bookmarkEnd w:id="109"/>
    <w:p>
      <w:pPr>
        <w:spacing w:line="360" w:lineRule="auto"/>
        <w:jc w:val="center"/>
        <w:rPr>
          <w:rFonts w:ascii="宋体" w:hAnsi="宋体"/>
          <w:b/>
          <w:bCs/>
          <w:sz w:val="36"/>
          <w:highlight w:val="none"/>
        </w:rPr>
      </w:pPr>
      <w:r>
        <w:rPr>
          <w:rFonts w:hint="eastAsia" w:ascii="宋体" w:hAnsi="宋体"/>
          <w:b/>
          <w:bCs/>
          <w:sz w:val="36"/>
          <w:highlight w:val="none"/>
        </w:rPr>
        <w:t>投标文件</w:t>
      </w:r>
    </w:p>
    <w:p>
      <w:pPr>
        <w:spacing w:line="360" w:lineRule="auto"/>
        <w:rPr>
          <w:rFonts w:ascii="宋体" w:hAnsi="宋体"/>
          <w:highlight w:val="none"/>
        </w:rPr>
      </w:pPr>
    </w:p>
    <w:p>
      <w:pPr>
        <w:spacing w:line="360" w:lineRule="auto"/>
        <w:rPr>
          <w:rFonts w:ascii="宋体" w:hAnsi="宋体"/>
          <w:highlight w:val="none"/>
        </w:rPr>
      </w:pPr>
    </w:p>
    <w:p>
      <w:pPr>
        <w:spacing w:line="360" w:lineRule="auto"/>
        <w:rPr>
          <w:rFonts w:ascii="宋体" w:hAnsi="宋体"/>
          <w:highlight w:val="none"/>
        </w:rPr>
      </w:pPr>
    </w:p>
    <w:p>
      <w:pPr>
        <w:spacing w:line="360" w:lineRule="auto"/>
        <w:rPr>
          <w:rFonts w:ascii="宋体" w:hAnsi="宋体"/>
          <w:highlight w:val="none"/>
        </w:rPr>
      </w:pPr>
    </w:p>
    <w:p>
      <w:pPr>
        <w:spacing w:line="360" w:lineRule="auto"/>
        <w:jc w:val="center"/>
        <w:rPr>
          <w:rFonts w:ascii="宋体" w:hAnsi="宋体"/>
          <w:b/>
          <w:sz w:val="30"/>
          <w:szCs w:val="30"/>
          <w:highlight w:val="none"/>
          <w:lang w:val="en-GB"/>
        </w:rPr>
      </w:pPr>
      <w:r>
        <w:rPr>
          <w:rFonts w:ascii="宋体" w:hAnsi="宋体"/>
          <w:b/>
          <w:sz w:val="30"/>
          <w:szCs w:val="30"/>
          <w:highlight w:val="none"/>
          <w:lang w:val="en-GB"/>
        </w:rPr>
        <w:t xml:space="preserve">    </w:t>
      </w:r>
    </w:p>
    <w:p>
      <w:pPr>
        <w:spacing w:line="360" w:lineRule="auto"/>
        <w:jc w:val="center"/>
        <w:outlineLvl w:val="2"/>
        <w:rPr>
          <w:rFonts w:ascii="宋体" w:hAnsi="宋体"/>
          <w:b/>
          <w:sz w:val="30"/>
          <w:szCs w:val="30"/>
          <w:highlight w:val="none"/>
          <w:lang w:val="en-GB"/>
        </w:rPr>
      </w:pPr>
      <w:r>
        <w:rPr>
          <w:rFonts w:ascii="宋体" w:hAnsi="宋体"/>
          <w:b/>
          <w:sz w:val="30"/>
          <w:szCs w:val="30"/>
          <w:highlight w:val="none"/>
          <w:lang w:val="en-GB"/>
        </w:rPr>
        <w:t xml:space="preserve">   </w:t>
      </w:r>
      <w:r>
        <w:rPr>
          <w:rFonts w:hint="eastAsia" w:ascii="宋体" w:hAnsi="宋体"/>
          <w:b/>
          <w:sz w:val="30"/>
          <w:szCs w:val="30"/>
          <w:highlight w:val="none"/>
          <w:lang w:val="en-GB"/>
        </w:rPr>
        <w:t>（</w:t>
      </w:r>
      <w:r>
        <w:rPr>
          <w:rFonts w:hint="eastAsia" w:ascii="宋体" w:hAnsi="宋体"/>
          <w:b/>
          <w:sz w:val="30"/>
          <w:szCs w:val="30"/>
          <w:highlight w:val="none"/>
        </w:rPr>
        <w:t>项目</w:t>
      </w:r>
      <w:r>
        <w:rPr>
          <w:rFonts w:ascii="宋体" w:hAnsi="宋体"/>
          <w:b/>
          <w:sz w:val="30"/>
          <w:szCs w:val="30"/>
          <w:highlight w:val="none"/>
          <w:lang w:val="en-GB"/>
        </w:rPr>
        <w:t>名称</w:t>
      </w:r>
      <w:r>
        <w:rPr>
          <w:rFonts w:hint="eastAsia" w:ascii="宋体" w:hAnsi="宋体"/>
          <w:b/>
          <w:sz w:val="30"/>
          <w:szCs w:val="30"/>
          <w:highlight w:val="none"/>
          <w:lang w:val="en-GB"/>
        </w:rPr>
        <w:t>）</w:t>
      </w:r>
    </w:p>
    <w:p>
      <w:pPr>
        <w:spacing w:line="360" w:lineRule="auto"/>
        <w:jc w:val="center"/>
        <w:rPr>
          <w:rFonts w:ascii="宋体" w:hAnsi="宋体"/>
          <w:b/>
          <w:sz w:val="30"/>
          <w:szCs w:val="30"/>
          <w:highlight w:val="none"/>
          <w:lang w:val="en-GB"/>
        </w:rPr>
      </w:pPr>
      <w:r>
        <w:rPr>
          <w:rFonts w:hint="eastAsia" w:ascii="宋体" w:hAnsi="宋体"/>
          <w:b/>
          <w:sz w:val="30"/>
          <w:szCs w:val="30"/>
          <w:highlight w:val="none"/>
        </w:rPr>
        <w:t>招标编号：</w:t>
      </w:r>
      <w:r>
        <w:rPr>
          <w:rFonts w:ascii="宋体" w:hAnsi="宋体"/>
          <w:b/>
          <w:sz w:val="30"/>
          <w:szCs w:val="30"/>
          <w:highlight w:val="none"/>
          <w:lang w:val="en-GB"/>
        </w:rPr>
        <w:t xml:space="preserve">    </w:t>
      </w:r>
    </w:p>
    <w:p>
      <w:pPr>
        <w:spacing w:line="360" w:lineRule="auto"/>
        <w:rPr>
          <w:rFonts w:ascii="宋体" w:hAnsi="宋体"/>
          <w:highlight w:val="none"/>
        </w:rPr>
      </w:pPr>
    </w:p>
    <w:p>
      <w:pPr>
        <w:spacing w:line="360" w:lineRule="auto"/>
        <w:rPr>
          <w:rFonts w:ascii="宋体" w:hAnsi="宋体"/>
          <w:highlight w:val="none"/>
        </w:rPr>
      </w:pPr>
    </w:p>
    <w:p>
      <w:pPr>
        <w:spacing w:line="360" w:lineRule="auto"/>
        <w:rPr>
          <w:rFonts w:ascii="宋体" w:hAnsi="宋体"/>
          <w:highlight w:val="none"/>
        </w:rPr>
      </w:pPr>
    </w:p>
    <w:p>
      <w:pPr>
        <w:spacing w:line="360" w:lineRule="auto"/>
        <w:rPr>
          <w:rFonts w:ascii="宋体" w:hAnsi="宋体"/>
          <w:highlight w:val="none"/>
        </w:rPr>
      </w:pPr>
    </w:p>
    <w:p>
      <w:pPr>
        <w:spacing w:line="360" w:lineRule="auto"/>
        <w:rPr>
          <w:rFonts w:ascii="宋体" w:hAnsi="宋体"/>
          <w:highlight w:val="none"/>
        </w:rPr>
      </w:pPr>
    </w:p>
    <w:p>
      <w:pPr>
        <w:spacing w:line="360" w:lineRule="auto"/>
        <w:rPr>
          <w:rFonts w:ascii="宋体" w:hAnsi="宋体"/>
          <w:highlight w:val="none"/>
        </w:rPr>
      </w:pPr>
    </w:p>
    <w:p>
      <w:pPr>
        <w:spacing w:line="360" w:lineRule="auto"/>
        <w:rPr>
          <w:rFonts w:ascii="宋体" w:hAnsi="宋体"/>
          <w:highlight w:val="none"/>
        </w:rPr>
      </w:pPr>
    </w:p>
    <w:p>
      <w:pPr>
        <w:spacing w:line="360" w:lineRule="auto"/>
        <w:ind w:firstLine="1680"/>
        <w:rPr>
          <w:rFonts w:ascii="宋体" w:hAnsi="宋体"/>
          <w:b/>
          <w:sz w:val="28"/>
          <w:highlight w:val="none"/>
          <w:u w:val="single"/>
        </w:rPr>
      </w:pPr>
      <w:r>
        <w:rPr>
          <w:rFonts w:hint="eastAsia" w:ascii="宋体" w:hAnsi="宋体"/>
          <w:b/>
          <w:sz w:val="28"/>
          <w:highlight w:val="none"/>
        </w:rPr>
        <w:t>投标人：</w:t>
      </w:r>
      <w:r>
        <w:rPr>
          <w:rFonts w:hint="eastAsia" w:ascii="宋体" w:hAnsi="宋体"/>
          <w:b/>
          <w:sz w:val="28"/>
          <w:highlight w:val="none"/>
          <w:u w:val="single"/>
        </w:rPr>
        <w:t xml:space="preserve">                           </w:t>
      </w:r>
    </w:p>
    <w:p>
      <w:pPr>
        <w:spacing w:line="360" w:lineRule="auto"/>
        <w:ind w:firstLine="1680"/>
        <w:rPr>
          <w:rFonts w:ascii="宋体" w:hAnsi="宋体"/>
          <w:b/>
          <w:sz w:val="28"/>
          <w:highlight w:val="none"/>
          <w:u w:val="single"/>
        </w:rPr>
      </w:pPr>
      <w:r>
        <w:rPr>
          <w:rFonts w:hint="eastAsia" w:ascii="宋体" w:hAnsi="宋体"/>
          <w:b/>
          <w:sz w:val="28"/>
          <w:highlight w:val="none"/>
        </w:rPr>
        <w:t>委托代理人：</w:t>
      </w:r>
      <w:r>
        <w:rPr>
          <w:rFonts w:hint="eastAsia" w:ascii="宋体" w:hAnsi="宋体"/>
          <w:b/>
          <w:sz w:val="28"/>
          <w:highlight w:val="none"/>
          <w:u w:val="single"/>
        </w:rPr>
        <w:t xml:space="preserve">                         </w:t>
      </w:r>
    </w:p>
    <w:p>
      <w:pPr>
        <w:spacing w:line="360" w:lineRule="auto"/>
        <w:ind w:firstLine="1680"/>
        <w:rPr>
          <w:rFonts w:ascii="宋体" w:hAnsi="宋体"/>
          <w:b/>
          <w:sz w:val="28"/>
          <w:highlight w:val="none"/>
        </w:rPr>
      </w:pPr>
      <w:r>
        <w:rPr>
          <w:rFonts w:hint="eastAsia" w:ascii="宋体" w:hAnsi="宋体"/>
          <w:b/>
          <w:sz w:val="28"/>
          <w:highlight w:val="none"/>
        </w:rPr>
        <w:t>投标日期：</w:t>
      </w:r>
      <w:r>
        <w:rPr>
          <w:rFonts w:hint="eastAsia" w:ascii="宋体" w:hAnsi="宋体"/>
          <w:b/>
          <w:sz w:val="28"/>
          <w:highlight w:val="none"/>
          <w:u w:val="single"/>
        </w:rPr>
        <w:t xml:space="preserve">                         </w:t>
      </w:r>
    </w:p>
    <w:p>
      <w:pPr>
        <w:spacing w:line="360" w:lineRule="auto"/>
        <w:rPr>
          <w:rFonts w:ascii="宋体" w:hAnsi="宋体"/>
          <w:b/>
          <w:highlight w:val="none"/>
          <w:u w:val="single"/>
        </w:rPr>
      </w:pPr>
    </w:p>
    <w:p>
      <w:pPr>
        <w:pStyle w:val="14"/>
        <w:rPr>
          <w:rFonts w:hAnsi="宋体"/>
          <w:b/>
          <w:highlight w:val="none"/>
          <w:u w:val="single"/>
        </w:rPr>
      </w:pPr>
    </w:p>
    <w:p>
      <w:pPr>
        <w:pStyle w:val="14"/>
        <w:rPr>
          <w:rFonts w:hAnsi="宋体"/>
          <w:b/>
          <w:highlight w:val="none"/>
          <w:u w:val="single"/>
        </w:rPr>
      </w:pPr>
    </w:p>
    <w:p>
      <w:pPr>
        <w:pStyle w:val="14"/>
        <w:rPr>
          <w:rFonts w:hAnsi="宋体"/>
          <w:b/>
          <w:highlight w:val="none"/>
          <w:u w:val="single"/>
        </w:rPr>
      </w:pPr>
    </w:p>
    <w:p>
      <w:pPr>
        <w:pStyle w:val="14"/>
        <w:rPr>
          <w:rFonts w:hAnsi="宋体"/>
          <w:b/>
          <w:highlight w:val="none"/>
          <w:u w:val="single"/>
        </w:rPr>
      </w:pPr>
    </w:p>
    <w:p>
      <w:pPr>
        <w:pStyle w:val="14"/>
        <w:rPr>
          <w:rFonts w:hAnsi="宋体"/>
          <w:b/>
          <w:highlight w:val="none"/>
          <w:u w:val="single"/>
        </w:rPr>
      </w:pPr>
    </w:p>
    <w:p>
      <w:pPr>
        <w:pStyle w:val="14"/>
        <w:rPr>
          <w:rFonts w:hAnsi="宋体"/>
          <w:b/>
          <w:highlight w:val="none"/>
          <w:u w:val="single"/>
        </w:rPr>
      </w:pPr>
    </w:p>
    <w:p>
      <w:pPr>
        <w:pStyle w:val="14"/>
        <w:numPr>
          <w:ilvl w:val="0"/>
          <w:numId w:val="6"/>
        </w:numPr>
        <w:rPr>
          <w:b/>
          <w:bCs/>
          <w:sz w:val="32"/>
          <w:szCs w:val="40"/>
          <w:highlight w:val="none"/>
        </w:rPr>
        <w:sectPr>
          <w:footerReference r:id="rId9" w:type="default"/>
          <w:pgSz w:w="11906" w:h="16838"/>
          <w:pgMar w:top="1474" w:right="1588" w:bottom="1440" w:left="1588" w:header="851" w:footer="992" w:gutter="0"/>
          <w:cols w:space="720" w:num="1"/>
          <w:docGrid w:type="lines" w:linePitch="312" w:charSpace="0"/>
        </w:sectPr>
      </w:pPr>
      <w:bookmarkStart w:id="110" w:name="_Hlt475517401"/>
      <w:bookmarkEnd w:id="110"/>
      <w:bookmarkStart w:id="111" w:name="_Toc479558560"/>
      <w:bookmarkStart w:id="112" w:name="_Toc476052139"/>
      <w:bookmarkStart w:id="113" w:name="_Toc484938300"/>
      <w:bookmarkStart w:id="114" w:name="_Toc479558966"/>
      <w:bookmarkStart w:id="115" w:name="_Toc479558801"/>
      <w:bookmarkStart w:id="116" w:name="_Toc447001737"/>
      <w:bookmarkStart w:id="117" w:name="_Toc479558633"/>
      <w:bookmarkStart w:id="118" w:name="_Toc475517266"/>
      <w:bookmarkStart w:id="119" w:name="_Toc475508051"/>
      <w:bookmarkStart w:id="120" w:name="_Toc475511280"/>
      <w:bookmarkStart w:id="121" w:name="_Toc476051242"/>
    </w:p>
    <w:p>
      <w:pPr>
        <w:pStyle w:val="14"/>
        <w:numPr>
          <w:ilvl w:val="0"/>
          <w:numId w:val="6"/>
        </w:numPr>
        <w:rPr>
          <w:b/>
          <w:bCs/>
          <w:sz w:val="32"/>
          <w:szCs w:val="40"/>
          <w:highlight w:val="none"/>
        </w:rPr>
      </w:pPr>
      <w:r>
        <w:rPr>
          <w:rFonts w:hint="eastAsia" w:hAnsi="宋体"/>
          <w:b/>
          <w:bCs/>
          <w:sz w:val="32"/>
          <w:szCs w:val="40"/>
          <w:highlight w:val="none"/>
        </w:rPr>
        <w:t>投标函</w:t>
      </w:r>
    </w:p>
    <w:p>
      <w:pPr>
        <w:spacing w:line="360" w:lineRule="auto"/>
        <w:jc w:val="center"/>
        <w:rPr>
          <w:rFonts w:ascii="宋体" w:hAnsi="宋体"/>
          <w:b/>
          <w:bCs/>
          <w:sz w:val="24"/>
          <w:szCs w:val="32"/>
          <w:highlight w:val="none"/>
        </w:rPr>
      </w:pPr>
      <w:r>
        <w:rPr>
          <w:rFonts w:hint="eastAsia" w:ascii="宋体" w:hAnsi="宋体"/>
          <w:b/>
          <w:bCs/>
          <w:sz w:val="24"/>
          <w:szCs w:val="32"/>
          <w:highlight w:val="none"/>
        </w:rPr>
        <w:t>投标函</w:t>
      </w:r>
      <w:bookmarkEnd w:id="111"/>
      <w:bookmarkEnd w:id="112"/>
      <w:bookmarkEnd w:id="113"/>
      <w:bookmarkEnd w:id="114"/>
      <w:bookmarkEnd w:id="115"/>
      <w:bookmarkEnd w:id="116"/>
      <w:bookmarkEnd w:id="117"/>
    </w:p>
    <w:p>
      <w:pPr>
        <w:spacing w:line="360" w:lineRule="auto"/>
        <w:rPr>
          <w:rFonts w:ascii="宋体" w:hAnsi="宋体"/>
          <w:highlight w:val="none"/>
        </w:rPr>
      </w:pPr>
      <w:r>
        <w:rPr>
          <w:rFonts w:hint="eastAsia" w:ascii="宋体" w:hAnsi="宋体"/>
          <w:highlight w:val="none"/>
        </w:rPr>
        <w:t>致：</w:t>
      </w:r>
      <w:r>
        <w:rPr>
          <w:rFonts w:hint="eastAsia" w:ascii="宋体" w:hAnsi="宋体"/>
          <w:highlight w:val="none"/>
          <w:u w:val="single"/>
        </w:rPr>
        <w:t>（招标人、招标代理机构）</w:t>
      </w:r>
    </w:p>
    <w:p>
      <w:pPr>
        <w:spacing w:line="360" w:lineRule="auto"/>
        <w:ind w:firstLine="420"/>
        <w:rPr>
          <w:rFonts w:ascii="宋体" w:hAnsi="宋体"/>
          <w:highlight w:val="none"/>
        </w:rPr>
      </w:pPr>
      <w:r>
        <w:rPr>
          <w:rFonts w:hint="eastAsia" w:ascii="宋体" w:hAnsi="宋体"/>
          <w:highlight w:val="none"/>
        </w:rPr>
        <w:t>我方审阅了贵方的招标文件的全部内容，现提交我方的投标文件。</w:t>
      </w:r>
    </w:p>
    <w:p>
      <w:pPr>
        <w:spacing w:line="360" w:lineRule="auto"/>
        <w:ind w:firstLine="420"/>
        <w:rPr>
          <w:rFonts w:ascii="宋体" w:hAnsi="宋体"/>
          <w:highlight w:val="none"/>
        </w:rPr>
      </w:pPr>
      <w:r>
        <w:rPr>
          <w:rFonts w:hint="eastAsia" w:ascii="宋体" w:hAnsi="宋体"/>
          <w:highlight w:val="none"/>
        </w:rPr>
        <w:t>我方</w:t>
      </w:r>
      <w:r>
        <w:rPr>
          <w:rFonts w:ascii="宋体" w:hAnsi="宋体"/>
          <w:highlight w:val="none"/>
          <w:u w:val="single"/>
        </w:rPr>
        <w:t xml:space="preserve">                                 </w:t>
      </w:r>
      <w:r>
        <w:rPr>
          <w:rFonts w:hint="eastAsia" w:ascii="宋体" w:hAnsi="宋体"/>
          <w:highlight w:val="none"/>
        </w:rPr>
        <w:t>（投标人全称）授权</w:t>
      </w:r>
      <w:r>
        <w:rPr>
          <w:rFonts w:ascii="宋体" w:hAnsi="宋体"/>
          <w:highlight w:val="none"/>
          <w:u w:val="single"/>
        </w:rPr>
        <w:t xml:space="preserve">              </w:t>
      </w:r>
      <w:r>
        <w:rPr>
          <w:rFonts w:hint="eastAsia" w:ascii="宋体" w:hAnsi="宋体"/>
          <w:highlight w:val="none"/>
        </w:rPr>
        <w:t>（委托代理人姓名）</w:t>
      </w:r>
      <w:r>
        <w:rPr>
          <w:rFonts w:ascii="宋体" w:hAnsi="宋体"/>
          <w:highlight w:val="none"/>
          <w:u w:val="single"/>
        </w:rPr>
        <w:t xml:space="preserve">                </w:t>
      </w:r>
      <w:r>
        <w:rPr>
          <w:rFonts w:hint="eastAsia" w:ascii="宋体" w:hAnsi="宋体"/>
          <w:highlight w:val="none"/>
        </w:rPr>
        <w:t>（职务、职称）为委托代理人，参加贵方组织的</w:t>
      </w:r>
      <w:r>
        <w:rPr>
          <w:rFonts w:hint="eastAsia" w:ascii="宋体" w:hAnsi="宋体"/>
          <w:highlight w:val="none"/>
          <w:u w:val="single"/>
        </w:rPr>
        <w:t xml:space="preserve">                    </w:t>
      </w:r>
      <w:r>
        <w:rPr>
          <w:rFonts w:hint="eastAsia" w:ascii="宋体" w:hAnsi="宋体"/>
          <w:highlight w:val="none"/>
        </w:rPr>
        <w:t>招标项目招标的有关活动，并进行投标。</w:t>
      </w:r>
    </w:p>
    <w:p>
      <w:pPr>
        <w:spacing w:line="360" w:lineRule="auto"/>
        <w:ind w:firstLine="420" w:firstLineChars="200"/>
        <w:rPr>
          <w:rFonts w:ascii="宋体" w:hAnsi="宋体"/>
          <w:highlight w:val="none"/>
        </w:rPr>
      </w:pPr>
      <w:r>
        <w:rPr>
          <w:rFonts w:hint="eastAsia" w:ascii="宋体" w:hAnsi="宋体"/>
          <w:highlight w:val="none"/>
        </w:rPr>
        <w:t>1.我方同意本投标文件在招标文件规定的截标日起</w:t>
      </w:r>
      <w:r>
        <w:rPr>
          <w:rFonts w:hint="eastAsia" w:ascii="宋体" w:hAnsi="宋体"/>
          <w:highlight w:val="none"/>
          <w:u w:val="single"/>
        </w:rPr>
        <w:t xml:space="preserve"> </w:t>
      </w:r>
      <w:r>
        <w:rPr>
          <w:rFonts w:ascii="宋体" w:hAnsi="宋体"/>
          <w:highlight w:val="none"/>
          <w:u w:val="single"/>
        </w:rPr>
        <w:t>90</w:t>
      </w:r>
      <w:r>
        <w:rPr>
          <w:rFonts w:hint="eastAsia" w:ascii="宋体" w:hAnsi="宋体"/>
          <w:highlight w:val="none"/>
          <w:u w:val="single"/>
        </w:rPr>
        <w:t xml:space="preserve"> </w:t>
      </w:r>
      <w:r>
        <w:rPr>
          <w:rFonts w:hint="eastAsia" w:ascii="宋体" w:hAnsi="宋体"/>
          <w:highlight w:val="none"/>
        </w:rPr>
        <w:t>天内有效，对我方具有法律约束力。</w:t>
      </w:r>
    </w:p>
    <w:p>
      <w:pPr>
        <w:spacing w:line="360" w:lineRule="auto"/>
        <w:ind w:firstLine="420" w:firstLineChars="200"/>
        <w:rPr>
          <w:highlight w:val="none"/>
        </w:rPr>
      </w:pPr>
      <w:r>
        <w:rPr>
          <w:rFonts w:hint="eastAsia" w:ascii="宋体" w:hAnsi="宋体"/>
          <w:highlight w:val="none"/>
        </w:rPr>
        <w:t>2.我方在参与投标前已仔细研究和阅读招标文件及所有相关资料，我方完全明白并认为此招标文件没有倾向性，也没有存在排斥潜在投标人的内容，我方同意招标文件的相关条款，放弃对招标文件提出误解和质疑的一切权利。</w:t>
      </w:r>
    </w:p>
    <w:p>
      <w:pPr>
        <w:spacing w:line="360" w:lineRule="auto"/>
        <w:ind w:firstLine="420" w:firstLineChars="200"/>
        <w:rPr>
          <w:rFonts w:ascii="宋体" w:hAnsi="宋体"/>
          <w:highlight w:val="none"/>
        </w:rPr>
      </w:pPr>
      <w:r>
        <w:rPr>
          <w:rFonts w:hint="eastAsia" w:ascii="宋体" w:hAnsi="宋体"/>
          <w:highlight w:val="none"/>
        </w:rPr>
        <w:t>3.我方同意向贵方提供任何与该项目投标有关的数据、情况和技术资料，并保证所提供的数据、资料及投标文件是真实的。</w:t>
      </w:r>
    </w:p>
    <w:p>
      <w:pPr>
        <w:spacing w:line="360" w:lineRule="auto"/>
        <w:ind w:firstLine="420" w:firstLineChars="200"/>
        <w:rPr>
          <w:rFonts w:ascii="宋体" w:hAnsi="宋体"/>
          <w:highlight w:val="none"/>
        </w:rPr>
      </w:pPr>
      <w:r>
        <w:rPr>
          <w:rFonts w:hint="eastAsia" w:ascii="宋体" w:hAnsi="宋体"/>
          <w:highlight w:val="none"/>
        </w:rPr>
        <w:t>4.我方声明投标文件及所提供的一切资料均真实无误及有效。由于我方提供资料不实而造成的责任和后果由我方承担。我方同意按照贵方提出的要求，提供与投标有关的任何其他数据或信息。</w:t>
      </w:r>
    </w:p>
    <w:p>
      <w:pPr>
        <w:spacing w:line="360" w:lineRule="auto"/>
        <w:ind w:firstLine="420" w:firstLineChars="200"/>
        <w:rPr>
          <w:rFonts w:ascii="宋体" w:hAnsi="宋体"/>
          <w:highlight w:val="none"/>
        </w:rPr>
      </w:pPr>
      <w:r>
        <w:rPr>
          <w:rFonts w:hint="eastAsia" w:ascii="宋体" w:hAnsi="宋体"/>
          <w:highlight w:val="none"/>
        </w:rPr>
        <w:t>5.如果我方中标，我方保证履行招标文件中承诺的全部责任和义务，切实履行《采购合同》中的全部条款。</w:t>
      </w:r>
    </w:p>
    <w:p>
      <w:pPr>
        <w:pStyle w:val="15"/>
        <w:spacing w:line="360" w:lineRule="auto"/>
        <w:rPr>
          <w:rFonts w:ascii="宋体" w:hAnsi="宋体" w:eastAsia="宋体"/>
          <w:b w:val="0"/>
          <w:sz w:val="21"/>
          <w:szCs w:val="24"/>
          <w:highlight w:val="none"/>
        </w:rPr>
      </w:pPr>
      <w:r>
        <w:rPr>
          <w:rFonts w:ascii="宋体" w:hAnsi="宋体" w:eastAsia="宋体"/>
          <w:highlight w:val="none"/>
        </w:rPr>
        <w:t xml:space="preserve">  </w:t>
      </w:r>
    </w:p>
    <w:p>
      <w:pPr>
        <w:spacing w:line="360" w:lineRule="auto"/>
        <w:rPr>
          <w:rFonts w:ascii="宋体" w:hAnsi="宋体"/>
          <w:highlight w:val="none"/>
          <w:u w:val="single"/>
        </w:rPr>
      </w:pPr>
      <w:r>
        <w:rPr>
          <w:rFonts w:ascii="宋体" w:hAnsi="宋体"/>
          <w:highlight w:val="none"/>
        </w:rPr>
        <w:t xml:space="preserve">    </w:t>
      </w:r>
      <w:r>
        <w:rPr>
          <w:rFonts w:hint="eastAsia" w:ascii="宋体" w:hAnsi="宋体"/>
          <w:highlight w:val="none"/>
        </w:rPr>
        <w:t xml:space="preserve"> 投标人（盖章）：</w:t>
      </w:r>
      <w:r>
        <w:rPr>
          <w:rFonts w:ascii="宋体" w:hAnsi="宋体"/>
          <w:highlight w:val="none"/>
          <w:u w:val="single"/>
        </w:rPr>
        <w:t xml:space="preserve">                                </w:t>
      </w:r>
    </w:p>
    <w:p>
      <w:pPr>
        <w:spacing w:line="360" w:lineRule="auto"/>
        <w:rPr>
          <w:rFonts w:ascii="宋体" w:hAnsi="宋体"/>
          <w:highlight w:val="none"/>
          <w:u w:val="single"/>
        </w:rPr>
      </w:pPr>
      <w:r>
        <w:rPr>
          <w:rFonts w:hint="eastAsia" w:ascii="宋体" w:hAnsi="宋体"/>
          <w:highlight w:val="none"/>
        </w:rPr>
        <w:t xml:space="preserve">     法定代表人或委托代理人（签字或</w:t>
      </w:r>
      <w:r>
        <w:rPr>
          <w:rFonts w:ascii="宋体" w:hAnsi="宋体"/>
          <w:highlight w:val="none"/>
        </w:rPr>
        <w:t>盖章</w:t>
      </w:r>
      <w:r>
        <w:rPr>
          <w:rFonts w:hint="eastAsia" w:ascii="宋体" w:hAnsi="宋体"/>
          <w:highlight w:val="none"/>
        </w:rPr>
        <w:t>）：</w:t>
      </w:r>
      <w:r>
        <w:rPr>
          <w:rFonts w:ascii="宋体" w:hAnsi="宋体"/>
          <w:highlight w:val="none"/>
          <w:u w:val="single"/>
        </w:rPr>
        <w:t xml:space="preserve">                  </w:t>
      </w:r>
    </w:p>
    <w:p>
      <w:pPr>
        <w:spacing w:line="360" w:lineRule="auto"/>
        <w:rPr>
          <w:rFonts w:ascii="宋体" w:hAnsi="宋体"/>
          <w:highlight w:val="none"/>
          <w:u w:val="single"/>
        </w:rPr>
      </w:pPr>
      <w:r>
        <w:rPr>
          <w:rFonts w:hint="eastAsia" w:ascii="宋体" w:hAnsi="宋体"/>
          <w:highlight w:val="none"/>
        </w:rPr>
        <w:t xml:space="preserve">     地</w:t>
      </w:r>
      <w:r>
        <w:rPr>
          <w:rFonts w:ascii="宋体" w:hAnsi="宋体"/>
          <w:highlight w:val="none"/>
        </w:rPr>
        <w:t xml:space="preserve">    </w:t>
      </w:r>
      <w:r>
        <w:rPr>
          <w:rFonts w:hint="eastAsia" w:ascii="宋体" w:hAnsi="宋体"/>
          <w:highlight w:val="none"/>
        </w:rPr>
        <w:t>址：</w:t>
      </w:r>
      <w:r>
        <w:rPr>
          <w:rFonts w:ascii="宋体" w:hAnsi="宋体"/>
          <w:highlight w:val="none"/>
          <w:u w:val="single"/>
        </w:rPr>
        <w:t xml:space="preserve">                                     </w:t>
      </w:r>
    </w:p>
    <w:p>
      <w:pPr>
        <w:spacing w:line="360" w:lineRule="auto"/>
        <w:rPr>
          <w:rFonts w:ascii="宋体" w:hAnsi="宋体"/>
          <w:highlight w:val="none"/>
        </w:rPr>
      </w:pPr>
      <w:r>
        <w:rPr>
          <w:rFonts w:ascii="宋体" w:hAnsi="宋体"/>
          <w:highlight w:val="none"/>
        </w:rPr>
        <w:t xml:space="preserve">    </w:t>
      </w:r>
      <w:r>
        <w:rPr>
          <w:rFonts w:hint="eastAsia" w:ascii="宋体" w:hAnsi="宋体"/>
          <w:highlight w:val="none"/>
        </w:rPr>
        <w:t xml:space="preserve"> 电</w:t>
      </w:r>
      <w:r>
        <w:rPr>
          <w:rFonts w:ascii="宋体" w:hAnsi="宋体"/>
          <w:highlight w:val="none"/>
        </w:rPr>
        <w:t xml:space="preserve">    </w:t>
      </w:r>
      <w:r>
        <w:rPr>
          <w:rFonts w:hint="eastAsia" w:ascii="宋体" w:hAnsi="宋体"/>
          <w:highlight w:val="none"/>
        </w:rPr>
        <w:t>话：</w:t>
      </w:r>
      <w:r>
        <w:rPr>
          <w:rFonts w:ascii="宋体" w:hAnsi="宋体"/>
          <w:highlight w:val="none"/>
          <w:u w:val="single"/>
        </w:rPr>
        <w:t xml:space="preserve">                                     </w:t>
      </w:r>
    </w:p>
    <w:p>
      <w:pPr>
        <w:spacing w:line="360" w:lineRule="auto"/>
        <w:ind w:firstLine="540"/>
        <w:rPr>
          <w:rFonts w:ascii="宋体" w:hAnsi="宋体"/>
          <w:highlight w:val="none"/>
          <w:u w:val="single"/>
        </w:rPr>
      </w:pPr>
      <w:bookmarkStart w:id="122" w:name="_Toc479558634"/>
      <w:bookmarkStart w:id="123" w:name="_Toc479558802"/>
      <w:bookmarkStart w:id="124" w:name="_Toc484938301"/>
      <w:bookmarkStart w:id="125" w:name="_Toc479558967"/>
      <w:bookmarkStart w:id="126" w:name="_Toc479558561"/>
      <w:bookmarkStart w:id="127" w:name="_Toc476052140"/>
      <w:r>
        <w:rPr>
          <w:rFonts w:ascii="宋体" w:hAnsi="宋体"/>
          <w:highlight w:val="none"/>
        </w:rPr>
        <w:t xml:space="preserve">日    </w:t>
      </w:r>
      <w:r>
        <w:rPr>
          <w:rFonts w:hint="eastAsia" w:ascii="宋体" w:hAnsi="宋体"/>
          <w:highlight w:val="none"/>
        </w:rPr>
        <w:t>期：</w:t>
      </w:r>
      <w:r>
        <w:rPr>
          <w:rFonts w:ascii="宋体" w:hAnsi="宋体"/>
          <w:highlight w:val="none"/>
          <w:u w:val="single"/>
        </w:rPr>
        <w:t xml:space="preserve">                                     </w:t>
      </w:r>
    </w:p>
    <w:p>
      <w:pPr>
        <w:spacing w:line="360" w:lineRule="auto"/>
        <w:rPr>
          <w:rFonts w:ascii="宋体" w:hAnsi="宋体"/>
          <w:highlight w:val="none"/>
        </w:rPr>
      </w:pPr>
    </w:p>
    <w:p>
      <w:pPr>
        <w:pStyle w:val="10"/>
        <w:spacing w:line="360" w:lineRule="auto"/>
        <w:rPr>
          <w:rFonts w:ascii="宋体" w:hAnsi="宋体"/>
          <w:highlight w:val="none"/>
        </w:rPr>
      </w:pPr>
    </w:p>
    <w:bookmarkEnd w:id="118"/>
    <w:bookmarkEnd w:id="119"/>
    <w:bookmarkEnd w:id="120"/>
    <w:bookmarkEnd w:id="121"/>
    <w:bookmarkEnd w:id="122"/>
    <w:bookmarkEnd w:id="123"/>
    <w:bookmarkEnd w:id="124"/>
    <w:bookmarkEnd w:id="125"/>
    <w:bookmarkEnd w:id="126"/>
    <w:bookmarkEnd w:id="127"/>
    <w:p>
      <w:pPr>
        <w:pStyle w:val="14"/>
        <w:numPr>
          <w:ilvl w:val="0"/>
          <w:numId w:val="6"/>
        </w:numPr>
        <w:rPr>
          <w:rFonts w:hAnsi="宋体"/>
          <w:b/>
          <w:sz w:val="32"/>
          <w:szCs w:val="40"/>
          <w:highlight w:val="none"/>
        </w:rPr>
      </w:pPr>
      <w:bookmarkStart w:id="128" w:name="_Hlt475508264"/>
      <w:bookmarkEnd w:id="128"/>
      <w:bookmarkStart w:id="129" w:name="_Toc484938303"/>
      <w:bookmarkStart w:id="130" w:name="_Toc475511283"/>
      <w:bookmarkStart w:id="131" w:name="_Toc476051245"/>
      <w:bookmarkStart w:id="132" w:name="_Toc475517269"/>
      <w:bookmarkStart w:id="133" w:name="_Toc475508053"/>
      <w:bookmarkStart w:id="134" w:name="_Toc447002434"/>
      <w:r>
        <w:rPr>
          <w:rFonts w:hAnsi="宋体"/>
          <w:b/>
          <w:highlight w:val="none"/>
        </w:rPr>
        <w:br w:type="page"/>
      </w:r>
      <w:r>
        <w:rPr>
          <w:rFonts w:hint="eastAsia" w:hAnsi="宋体"/>
          <w:b/>
          <w:sz w:val="32"/>
          <w:szCs w:val="40"/>
          <w:highlight w:val="none"/>
        </w:rPr>
        <w:t>开标一览表</w:t>
      </w:r>
    </w:p>
    <w:p>
      <w:pPr>
        <w:spacing w:line="360" w:lineRule="auto"/>
        <w:jc w:val="center"/>
        <w:rPr>
          <w:rFonts w:ascii="宋体" w:hAnsi="宋体"/>
          <w:sz w:val="24"/>
          <w:szCs w:val="32"/>
          <w:highlight w:val="none"/>
        </w:rPr>
      </w:pPr>
      <w:r>
        <w:rPr>
          <w:rFonts w:hint="eastAsia" w:ascii="宋体" w:hAnsi="宋体"/>
          <w:b/>
          <w:bCs/>
          <w:sz w:val="24"/>
          <w:szCs w:val="32"/>
          <w:highlight w:val="none"/>
        </w:rPr>
        <w:t>开标一览表</w:t>
      </w:r>
    </w:p>
    <w:p>
      <w:pPr>
        <w:spacing w:line="360" w:lineRule="auto"/>
        <w:rPr>
          <w:rFonts w:ascii="宋体" w:hAnsi="宋体"/>
          <w:highlight w:val="none"/>
        </w:rPr>
      </w:pPr>
      <w:r>
        <w:rPr>
          <w:rFonts w:hint="eastAsia" w:ascii="宋体" w:hAnsi="宋体"/>
          <w:highlight w:val="none"/>
        </w:rPr>
        <w:t>招标项目编号：</w:t>
      </w:r>
    </w:p>
    <w:p>
      <w:pPr>
        <w:spacing w:line="360" w:lineRule="auto"/>
        <w:rPr>
          <w:rFonts w:ascii="宋体" w:hAnsi="宋体"/>
          <w:highlight w:val="none"/>
        </w:rPr>
      </w:pPr>
      <w:r>
        <w:rPr>
          <w:rFonts w:hint="eastAsia" w:ascii="宋体" w:hAnsi="宋体"/>
          <w:highlight w:val="none"/>
        </w:rPr>
        <w:t>项目名称：</w:t>
      </w:r>
    </w:p>
    <w:tbl>
      <w:tblPr>
        <w:tblStyle w:val="26"/>
        <w:tblW w:w="50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
        <w:gridCol w:w="2462"/>
        <w:gridCol w:w="4242"/>
        <w:gridCol w:w="1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09"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highlight w:val="none"/>
              </w:rPr>
            </w:pPr>
            <w:r>
              <w:rPr>
                <w:rFonts w:hint="eastAsia" w:ascii="宋体" w:hAnsi="宋体"/>
                <w:b/>
                <w:szCs w:val="21"/>
                <w:highlight w:val="none"/>
              </w:rPr>
              <w:t>序号</w:t>
            </w:r>
          </w:p>
        </w:tc>
        <w:tc>
          <w:tcPr>
            <w:tcW w:w="136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highlight w:val="none"/>
              </w:rPr>
            </w:pPr>
            <w:r>
              <w:rPr>
                <w:rFonts w:hint="eastAsia" w:ascii="宋体" w:hAnsi="宋体"/>
                <w:b/>
                <w:szCs w:val="21"/>
                <w:highlight w:val="none"/>
              </w:rPr>
              <w:t>条款名称</w:t>
            </w:r>
          </w:p>
        </w:tc>
        <w:tc>
          <w:tcPr>
            <w:tcW w:w="235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highlight w:val="none"/>
              </w:rPr>
            </w:pPr>
            <w:r>
              <w:rPr>
                <w:rFonts w:hint="eastAsia" w:ascii="宋体" w:hAnsi="宋体"/>
                <w:b/>
                <w:szCs w:val="21"/>
                <w:highlight w:val="none"/>
              </w:rPr>
              <w:t>约定内容</w:t>
            </w:r>
          </w:p>
        </w:tc>
        <w:tc>
          <w:tcPr>
            <w:tcW w:w="76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highlight w:val="none"/>
              </w:rPr>
            </w:pPr>
            <w:r>
              <w:rPr>
                <w:rFonts w:ascii="宋体" w:hAnsi="宋体"/>
                <w:b/>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09"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highlight w:val="none"/>
              </w:rPr>
            </w:pPr>
            <w:r>
              <w:rPr>
                <w:rFonts w:hint="eastAsia" w:ascii="宋体" w:hAnsi="宋体" w:cs="宋体"/>
                <w:sz w:val="24"/>
                <w:highlight w:val="none"/>
              </w:rPr>
              <w:t>1</w:t>
            </w:r>
          </w:p>
        </w:tc>
        <w:tc>
          <w:tcPr>
            <w:tcW w:w="136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highlight w:val="none"/>
              </w:rPr>
            </w:pPr>
            <w:r>
              <w:rPr>
                <w:rFonts w:hint="eastAsia" w:ascii="宋体" w:hAnsi="宋体" w:cs="宋体"/>
                <w:sz w:val="24"/>
                <w:highlight w:val="none"/>
              </w:rPr>
              <w:t>交货期</w:t>
            </w:r>
          </w:p>
        </w:tc>
        <w:tc>
          <w:tcPr>
            <w:tcW w:w="235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highlight w:val="none"/>
              </w:rPr>
            </w:pPr>
            <w:r>
              <w:rPr>
                <w:rFonts w:hint="eastAsia" w:ascii="宋体" w:hAnsi="宋体" w:cs="宋体"/>
                <w:bCs/>
                <w:sz w:val="24"/>
                <w:highlight w:val="none"/>
              </w:rPr>
              <w:t>按招标文件要求</w:t>
            </w:r>
          </w:p>
        </w:tc>
        <w:tc>
          <w:tcPr>
            <w:tcW w:w="76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09"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highlight w:val="none"/>
              </w:rPr>
            </w:pPr>
            <w:r>
              <w:rPr>
                <w:rFonts w:hint="eastAsia" w:ascii="宋体" w:hAnsi="宋体" w:cs="宋体"/>
                <w:sz w:val="24"/>
                <w:highlight w:val="none"/>
              </w:rPr>
              <w:t>2</w:t>
            </w:r>
          </w:p>
        </w:tc>
        <w:tc>
          <w:tcPr>
            <w:tcW w:w="136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highlight w:val="none"/>
              </w:rPr>
            </w:pPr>
            <w:r>
              <w:rPr>
                <w:rFonts w:hint="eastAsia" w:ascii="宋体" w:hAnsi="宋体" w:cs="宋体"/>
                <w:sz w:val="24"/>
                <w:highlight w:val="none"/>
              </w:rPr>
              <w:t>交货地点</w:t>
            </w:r>
          </w:p>
        </w:tc>
        <w:tc>
          <w:tcPr>
            <w:tcW w:w="235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highlight w:val="none"/>
              </w:rPr>
            </w:pPr>
            <w:r>
              <w:rPr>
                <w:rFonts w:hint="eastAsia" w:ascii="宋体" w:hAnsi="宋体" w:cs="宋体"/>
                <w:bCs/>
                <w:sz w:val="24"/>
                <w:highlight w:val="none"/>
              </w:rPr>
              <w:t>按招标文件要求</w:t>
            </w:r>
          </w:p>
        </w:tc>
        <w:tc>
          <w:tcPr>
            <w:tcW w:w="76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09"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highlight w:val="none"/>
              </w:rPr>
            </w:pPr>
            <w:r>
              <w:rPr>
                <w:rFonts w:hint="eastAsia" w:ascii="宋体" w:hAnsi="宋体" w:cs="宋体"/>
                <w:sz w:val="24"/>
                <w:highlight w:val="none"/>
              </w:rPr>
              <w:t>3</w:t>
            </w:r>
          </w:p>
        </w:tc>
        <w:tc>
          <w:tcPr>
            <w:tcW w:w="136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highlight w:val="none"/>
              </w:rPr>
            </w:pPr>
            <w:r>
              <w:rPr>
                <w:rFonts w:hint="eastAsia" w:ascii="宋体" w:hAnsi="宋体" w:cs="宋体"/>
                <w:sz w:val="24"/>
                <w:highlight w:val="none"/>
              </w:rPr>
              <w:t>采购物资名称、数量及技术规格</w:t>
            </w:r>
          </w:p>
        </w:tc>
        <w:tc>
          <w:tcPr>
            <w:tcW w:w="235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highlight w:val="none"/>
              </w:rPr>
            </w:pPr>
            <w:r>
              <w:rPr>
                <w:rFonts w:hint="eastAsia" w:ascii="宋体" w:hAnsi="宋体" w:cs="宋体"/>
                <w:bCs/>
                <w:sz w:val="24"/>
                <w:highlight w:val="none"/>
              </w:rPr>
              <w:t>按招标文件要求</w:t>
            </w:r>
          </w:p>
        </w:tc>
        <w:tc>
          <w:tcPr>
            <w:tcW w:w="76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09" w:type="pct"/>
            <w:tcBorders>
              <w:top w:val="single" w:color="auto" w:sz="4" w:space="0"/>
              <w:left w:val="single" w:color="auto" w:sz="4" w:space="0"/>
              <w:right w:val="single" w:color="auto" w:sz="4" w:space="0"/>
            </w:tcBorders>
            <w:vAlign w:val="center"/>
          </w:tcPr>
          <w:p>
            <w:pPr>
              <w:jc w:val="center"/>
              <w:rPr>
                <w:rFonts w:ascii="宋体" w:hAnsi="宋体" w:cs="宋体"/>
                <w:sz w:val="24"/>
                <w:highlight w:val="none"/>
              </w:rPr>
            </w:pPr>
            <w:r>
              <w:rPr>
                <w:rFonts w:hint="eastAsia" w:ascii="宋体" w:hAnsi="宋体" w:cs="宋体"/>
                <w:sz w:val="24"/>
                <w:highlight w:val="none"/>
              </w:rPr>
              <w:t>4</w:t>
            </w:r>
          </w:p>
        </w:tc>
        <w:tc>
          <w:tcPr>
            <w:tcW w:w="1368" w:type="pct"/>
            <w:tcBorders>
              <w:top w:val="single" w:color="auto" w:sz="4" w:space="0"/>
              <w:left w:val="single" w:color="auto" w:sz="4" w:space="0"/>
              <w:right w:val="single" w:color="auto" w:sz="4" w:space="0"/>
            </w:tcBorders>
            <w:vAlign w:val="center"/>
          </w:tcPr>
          <w:p>
            <w:pPr>
              <w:jc w:val="center"/>
              <w:rPr>
                <w:rFonts w:ascii="宋体" w:hAnsi="宋体" w:cs="宋体"/>
                <w:sz w:val="24"/>
                <w:highlight w:val="none"/>
              </w:rPr>
            </w:pPr>
            <w:r>
              <w:rPr>
                <w:rFonts w:hint="eastAsia" w:ascii="宋体" w:hAnsi="宋体" w:cs="宋体"/>
                <w:sz w:val="24"/>
                <w:highlight w:val="none"/>
              </w:rPr>
              <w:t>投标总报价</w:t>
            </w:r>
          </w:p>
        </w:tc>
        <w:tc>
          <w:tcPr>
            <w:tcW w:w="235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highlight w:val="none"/>
              </w:rPr>
            </w:pPr>
            <w:r>
              <w:rPr>
                <w:rFonts w:hint="eastAsia" w:ascii="宋体" w:hAnsi="宋体" w:cs="宋体"/>
                <w:sz w:val="24"/>
                <w:highlight w:val="none"/>
              </w:rPr>
              <w:t>人民币</w:t>
            </w:r>
            <w:r>
              <w:rPr>
                <w:rFonts w:ascii="宋体" w:hAnsi="宋体" w:cs="宋体"/>
                <w:sz w:val="24"/>
                <w:highlight w:val="none"/>
                <w:u w:val="single"/>
              </w:rPr>
              <w:t xml:space="preserve">    </w:t>
            </w:r>
            <w:r>
              <w:rPr>
                <w:rFonts w:hint="eastAsia" w:ascii="宋体" w:hAnsi="宋体" w:cs="宋体"/>
                <w:sz w:val="24"/>
                <w:highlight w:val="none"/>
              </w:rPr>
              <w:t>元</w:t>
            </w:r>
          </w:p>
        </w:tc>
        <w:tc>
          <w:tcPr>
            <w:tcW w:w="763" w:type="pct"/>
            <w:tcBorders>
              <w:top w:val="single" w:color="auto" w:sz="4" w:space="0"/>
              <w:left w:val="single" w:color="auto" w:sz="4" w:space="0"/>
              <w:right w:val="single" w:color="auto" w:sz="4" w:space="0"/>
            </w:tcBorders>
            <w:vAlign w:val="center"/>
          </w:tcPr>
          <w:p>
            <w:pPr>
              <w:jc w:val="center"/>
              <w:rPr>
                <w:rFonts w:ascii="宋体" w:hAnsi="宋体"/>
                <w:b/>
                <w:szCs w:val="21"/>
                <w:highlight w:val="none"/>
              </w:rPr>
            </w:pPr>
          </w:p>
        </w:tc>
      </w:tr>
    </w:tbl>
    <w:p>
      <w:pPr>
        <w:spacing w:line="360" w:lineRule="auto"/>
        <w:rPr>
          <w:rFonts w:ascii="宋体" w:hAnsi="宋体"/>
          <w:highlight w:val="none"/>
        </w:rPr>
      </w:pPr>
    </w:p>
    <w:p>
      <w:pPr>
        <w:spacing w:line="360" w:lineRule="auto"/>
        <w:rPr>
          <w:rFonts w:ascii="宋体" w:hAnsi="宋体"/>
          <w:highlight w:val="none"/>
          <w:u w:val="single"/>
        </w:rPr>
      </w:pPr>
      <w:r>
        <w:rPr>
          <w:rFonts w:hint="eastAsia" w:ascii="宋体" w:hAnsi="宋体"/>
          <w:highlight w:val="none"/>
        </w:rPr>
        <w:t>投标人（盖章）：</w:t>
      </w:r>
      <w:r>
        <w:rPr>
          <w:rFonts w:ascii="宋体" w:hAnsi="宋体"/>
          <w:highlight w:val="none"/>
          <w:u w:val="single"/>
        </w:rPr>
        <w:t xml:space="preserve">                                     </w:t>
      </w:r>
    </w:p>
    <w:p>
      <w:pPr>
        <w:spacing w:line="360" w:lineRule="auto"/>
        <w:rPr>
          <w:rFonts w:ascii="宋体" w:hAnsi="宋体"/>
          <w:highlight w:val="none"/>
          <w:u w:val="single"/>
        </w:rPr>
      </w:pPr>
      <w:r>
        <w:rPr>
          <w:rFonts w:hint="eastAsia" w:ascii="宋体" w:hAnsi="宋体"/>
          <w:highlight w:val="none"/>
        </w:rPr>
        <w:t>法定人代表人或委托代理人（签字或</w:t>
      </w:r>
      <w:r>
        <w:rPr>
          <w:rFonts w:ascii="宋体" w:hAnsi="宋体"/>
          <w:highlight w:val="none"/>
        </w:rPr>
        <w:t>盖章</w:t>
      </w:r>
      <w:r>
        <w:rPr>
          <w:rFonts w:hint="eastAsia" w:ascii="宋体" w:hAnsi="宋体"/>
          <w:highlight w:val="none"/>
        </w:rPr>
        <w:t>）：</w:t>
      </w:r>
      <w:r>
        <w:rPr>
          <w:rFonts w:ascii="宋体" w:hAnsi="宋体"/>
          <w:highlight w:val="none"/>
          <w:u w:val="single"/>
        </w:rPr>
        <w:t xml:space="preserve">                     </w:t>
      </w:r>
    </w:p>
    <w:p>
      <w:pPr>
        <w:spacing w:line="360" w:lineRule="auto"/>
        <w:rPr>
          <w:rFonts w:ascii="宋体" w:hAnsi="宋体"/>
          <w:highlight w:val="none"/>
        </w:rPr>
      </w:pPr>
      <w:r>
        <w:rPr>
          <w:rFonts w:hint="eastAsia" w:ascii="宋体" w:hAnsi="宋体"/>
          <w:highlight w:val="none"/>
        </w:rPr>
        <w:t>日期：</w:t>
      </w:r>
      <w:r>
        <w:rPr>
          <w:rFonts w:ascii="宋体" w:hAnsi="宋体"/>
          <w:highlight w:val="none"/>
        </w:rPr>
        <w:t xml:space="preserve">     </w:t>
      </w:r>
      <w:r>
        <w:rPr>
          <w:rFonts w:hint="eastAsia" w:ascii="宋体" w:hAnsi="宋体"/>
          <w:highlight w:val="none"/>
        </w:rPr>
        <w:t>年</w:t>
      </w:r>
      <w:r>
        <w:rPr>
          <w:rFonts w:ascii="宋体" w:hAnsi="宋体"/>
          <w:highlight w:val="none"/>
        </w:rPr>
        <w:t xml:space="preserve">   </w:t>
      </w:r>
      <w:r>
        <w:rPr>
          <w:rFonts w:hint="eastAsia" w:ascii="宋体" w:hAnsi="宋体"/>
          <w:highlight w:val="none"/>
        </w:rPr>
        <w:t>月</w:t>
      </w:r>
      <w:r>
        <w:rPr>
          <w:rFonts w:ascii="宋体" w:hAnsi="宋体"/>
          <w:highlight w:val="none"/>
        </w:rPr>
        <w:t xml:space="preserve">  </w:t>
      </w:r>
      <w:r>
        <w:rPr>
          <w:rFonts w:hint="eastAsia" w:ascii="宋体" w:hAnsi="宋体"/>
          <w:highlight w:val="none"/>
        </w:rPr>
        <w:t>日</w:t>
      </w:r>
    </w:p>
    <w:p>
      <w:pPr>
        <w:spacing w:line="360" w:lineRule="auto"/>
        <w:ind w:firstLine="422" w:firstLineChars="200"/>
        <w:rPr>
          <w:rFonts w:ascii="宋体" w:hAnsi="宋体"/>
          <w:b/>
          <w:highlight w:val="none"/>
        </w:rPr>
      </w:pPr>
    </w:p>
    <w:p>
      <w:pPr>
        <w:spacing w:line="360" w:lineRule="auto"/>
        <w:ind w:firstLine="422" w:firstLineChars="200"/>
        <w:rPr>
          <w:rFonts w:ascii="宋体" w:hAnsi="宋体"/>
          <w:b/>
          <w:highlight w:val="none"/>
        </w:rPr>
      </w:pPr>
      <w:r>
        <w:rPr>
          <w:rFonts w:hint="eastAsia" w:ascii="宋体" w:hAnsi="宋体"/>
          <w:b/>
          <w:highlight w:val="none"/>
        </w:rPr>
        <w:t>注：1.此表除在投标文件中提供外，为方便开标，还应将其复印件装在唱标信封内与法定代表人（负责人）证明书、法定代表人（负责人）授权委托证明书一同密封提交。</w:t>
      </w:r>
    </w:p>
    <w:p>
      <w:pPr>
        <w:spacing w:line="360" w:lineRule="auto"/>
        <w:ind w:firstLine="422" w:firstLineChars="200"/>
        <w:rPr>
          <w:rFonts w:ascii="宋体" w:hAnsi="宋体"/>
          <w:b/>
          <w:highlight w:val="none"/>
        </w:rPr>
      </w:pPr>
      <w:r>
        <w:rPr>
          <w:rFonts w:hint="eastAsia" w:ascii="宋体" w:hAnsi="宋体"/>
          <w:b/>
          <w:highlight w:val="none"/>
        </w:rPr>
        <w:t>2.投标总报价超过最高投标限价的投标，将被视为无效标。</w:t>
      </w:r>
    </w:p>
    <w:p>
      <w:pPr>
        <w:spacing w:line="360" w:lineRule="auto"/>
        <w:rPr>
          <w:rFonts w:ascii="宋体" w:hAnsi="宋体"/>
          <w:highlight w:val="none"/>
        </w:rPr>
      </w:pPr>
    </w:p>
    <w:p>
      <w:pPr>
        <w:spacing w:line="360" w:lineRule="auto"/>
        <w:rPr>
          <w:rFonts w:ascii="宋体" w:hAnsi="宋体"/>
          <w:b/>
          <w:sz w:val="24"/>
          <w:highlight w:val="none"/>
        </w:rPr>
      </w:pPr>
    </w:p>
    <w:p>
      <w:pPr>
        <w:spacing w:line="360" w:lineRule="auto"/>
        <w:rPr>
          <w:rFonts w:ascii="宋体" w:hAnsi="宋体"/>
          <w:b/>
          <w:sz w:val="24"/>
          <w:highlight w:val="none"/>
        </w:rPr>
      </w:pPr>
    </w:p>
    <w:p>
      <w:pPr>
        <w:pStyle w:val="14"/>
        <w:rPr>
          <w:rFonts w:hAnsi="宋体"/>
          <w:b/>
          <w:sz w:val="24"/>
          <w:highlight w:val="none"/>
        </w:rPr>
      </w:pPr>
    </w:p>
    <w:p>
      <w:pPr>
        <w:rPr>
          <w:rFonts w:ascii="宋体" w:hAnsi="宋体"/>
          <w:b/>
          <w:sz w:val="24"/>
          <w:highlight w:val="none"/>
        </w:rPr>
      </w:pPr>
    </w:p>
    <w:p>
      <w:pPr>
        <w:pStyle w:val="14"/>
        <w:rPr>
          <w:rFonts w:hAnsi="宋体"/>
          <w:b/>
          <w:sz w:val="24"/>
          <w:highlight w:val="none"/>
        </w:rPr>
      </w:pPr>
    </w:p>
    <w:bookmarkEnd w:id="129"/>
    <w:bookmarkEnd w:id="130"/>
    <w:bookmarkEnd w:id="131"/>
    <w:bookmarkEnd w:id="132"/>
    <w:bookmarkEnd w:id="133"/>
    <w:bookmarkEnd w:id="134"/>
    <w:p>
      <w:pPr>
        <w:numPr>
          <w:ilvl w:val="0"/>
          <w:numId w:val="7"/>
        </w:numPr>
        <w:spacing w:line="360" w:lineRule="auto"/>
        <w:jc w:val="center"/>
        <w:outlineLvl w:val="2"/>
        <w:rPr>
          <w:rFonts w:ascii="宋体" w:hAnsi="宋体"/>
          <w:sz w:val="44"/>
          <w:highlight w:val="none"/>
        </w:rPr>
      </w:pPr>
      <w:bookmarkStart w:id="135" w:name="_Toc476051247"/>
      <w:bookmarkStart w:id="136" w:name="_Toc447001742"/>
      <w:r>
        <w:rPr>
          <w:rFonts w:hint="eastAsia" w:ascii="宋体" w:hAnsi="宋体"/>
          <w:b/>
          <w:sz w:val="36"/>
          <w:highlight w:val="none"/>
        </w:rPr>
        <w:t>资格审查</w:t>
      </w:r>
      <w:bookmarkEnd w:id="135"/>
      <w:bookmarkEnd w:id="136"/>
      <w:r>
        <w:rPr>
          <w:rFonts w:hint="eastAsia" w:ascii="宋体" w:hAnsi="宋体"/>
          <w:b/>
          <w:sz w:val="36"/>
          <w:highlight w:val="none"/>
        </w:rPr>
        <w:t>文件</w:t>
      </w:r>
    </w:p>
    <w:p>
      <w:pPr>
        <w:pStyle w:val="14"/>
        <w:numPr>
          <w:ilvl w:val="0"/>
          <w:numId w:val="6"/>
        </w:numPr>
        <w:rPr>
          <w:rFonts w:hAnsi="宋体"/>
          <w:b/>
          <w:sz w:val="32"/>
          <w:szCs w:val="40"/>
          <w:highlight w:val="none"/>
        </w:rPr>
      </w:pPr>
      <w:bookmarkStart w:id="137" w:name="_Toc475517272"/>
      <w:bookmarkStart w:id="138" w:name="_Toc475511286"/>
      <w:bookmarkStart w:id="139" w:name="_Toc476051249"/>
      <w:r>
        <w:rPr>
          <w:rFonts w:hint="eastAsia" w:hAnsi="宋体"/>
          <w:b/>
          <w:sz w:val="32"/>
          <w:szCs w:val="40"/>
          <w:highlight w:val="none"/>
        </w:rPr>
        <w:t>法定代表人（负责人）证明书</w:t>
      </w:r>
    </w:p>
    <w:p>
      <w:pPr>
        <w:spacing w:line="400" w:lineRule="exact"/>
        <w:jc w:val="center"/>
        <w:rPr>
          <w:rFonts w:hAnsi="宋体"/>
          <w:b/>
          <w:sz w:val="32"/>
          <w:szCs w:val="40"/>
          <w:highlight w:val="none"/>
        </w:rPr>
      </w:pPr>
    </w:p>
    <w:p>
      <w:pPr>
        <w:spacing w:line="400" w:lineRule="exact"/>
        <w:jc w:val="center"/>
        <w:rPr>
          <w:rFonts w:ascii="宋体" w:hAnsi="宋体" w:cs="宋体"/>
          <w:sz w:val="19"/>
          <w:szCs w:val="19"/>
          <w:highlight w:val="none"/>
        </w:rPr>
      </w:pPr>
      <w:r>
        <w:rPr>
          <w:rFonts w:hint="eastAsia" w:hAnsi="宋体"/>
          <w:b/>
          <w:sz w:val="32"/>
          <w:szCs w:val="40"/>
          <w:highlight w:val="none"/>
        </w:rPr>
        <w:t>法定代表人（负责人）证明书</w:t>
      </w:r>
    </w:p>
    <w:p>
      <w:pPr>
        <w:spacing w:line="400" w:lineRule="exact"/>
        <w:rPr>
          <w:rFonts w:ascii="宋体" w:hAnsi="宋体" w:cs="宋体"/>
          <w:szCs w:val="21"/>
          <w:highlight w:val="none"/>
        </w:rPr>
      </w:pPr>
    </w:p>
    <w:p>
      <w:pPr>
        <w:spacing w:line="400" w:lineRule="exact"/>
        <w:rPr>
          <w:rFonts w:ascii="宋体" w:hAnsi="宋体" w:cs="宋体"/>
          <w:szCs w:val="21"/>
          <w:highlight w:val="none"/>
        </w:rPr>
      </w:pPr>
      <w:r>
        <w:rPr>
          <w:rFonts w:hint="eastAsia" w:ascii="宋体" w:hAnsi="宋体" w:cs="宋体"/>
          <w:szCs w:val="21"/>
          <w:highlight w:val="none"/>
        </w:rPr>
        <w:t>投标人名称：</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pPr>
        <w:spacing w:line="400" w:lineRule="exact"/>
        <w:rPr>
          <w:rFonts w:ascii="宋体" w:hAnsi="宋体" w:cs="宋体"/>
          <w:szCs w:val="21"/>
          <w:highlight w:val="none"/>
        </w:rPr>
      </w:pPr>
      <w:r>
        <w:rPr>
          <w:rFonts w:hint="eastAsia" w:ascii="宋体" w:hAnsi="宋体" w:cs="宋体"/>
          <w:szCs w:val="21"/>
          <w:highlight w:val="none"/>
        </w:rPr>
        <w:t>单位性质：</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pPr>
        <w:spacing w:line="400" w:lineRule="exact"/>
        <w:rPr>
          <w:rFonts w:ascii="宋体" w:hAnsi="宋体" w:cs="宋体"/>
          <w:szCs w:val="21"/>
          <w:highlight w:val="none"/>
        </w:rPr>
      </w:pPr>
      <w:r>
        <w:rPr>
          <w:rFonts w:hint="eastAsia" w:ascii="宋体" w:hAnsi="宋体" w:cs="宋体"/>
          <w:szCs w:val="21"/>
          <w:highlight w:val="none"/>
        </w:rPr>
        <w:t>地址：</w:t>
      </w:r>
      <w:r>
        <w:rPr>
          <w:rFonts w:hint="eastAsia" w:ascii="宋体" w:hAnsi="宋体" w:cs="宋体"/>
          <w:szCs w:val="21"/>
          <w:highlight w:val="none"/>
          <w:u w:val="single"/>
        </w:rPr>
        <w:t xml:space="preserve">                                   </w:t>
      </w:r>
    </w:p>
    <w:p>
      <w:pPr>
        <w:spacing w:line="400" w:lineRule="exact"/>
        <w:rPr>
          <w:rFonts w:ascii="宋体" w:hAnsi="宋体" w:cs="宋体"/>
          <w:szCs w:val="21"/>
          <w:highlight w:val="none"/>
        </w:rPr>
      </w:pPr>
      <w:r>
        <w:rPr>
          <w:rFonts w:hint="eastAsia" w:ascii="宋体" w:hAnsi="宋体" w:cs="宋体"/>
          <w:szCs w:val="21"/>
          <w:highlight w:val="none"/>
        </w:rPr>
        <w:t>成立时间：</w:t>
      </w:r>
      <w:r>
        <w:rPr>
          <w:rFonts w:hint="eastAsia" w:ascii="宋体" w:hAnsi="宋体" w:cs="宋体"/>
          <w:szCs w:val="21"/>
          <w:highlight w:val="none"/>
          <w:u w:val="single"/>
        </w:rPr>
        <w:t xml:space="preserve">         </w:t>
      </w:r>
      <w:r>
        <w:rPr>
          <w:rFonts w:hint="eastAsia" w:ascii="宋体" w:hAnsi="宋体" w:cs="宋体"/>
          <w:szCs w:val="21"/>
          <w:highlight w:val="none"/>
        </w:rPr>
        <w:t xml:space="preserve"> 年</w:t>
      </w:r>
      <w:r>
        <w:rPr>
          <w:rFonts w:hint="eastAsia" w:ascii="宋体" w:hAnsi="宋体" w:cs="宋体"/>
          <w:szCs w:val="21"/>
          <w:highlight w:val="none"/>
          <w:u w:val="single"/>
        </w:rPr>
        <w:t xml:space="preserve">       </w:t>
      </w:r>
      <w:r>
        <w:rPr>
          <w:rFonts w:hint="eastAsia" w:ascii="宋体" w:hAnsi="宋体" w:cs="宋体"/>
          <w:szCs w:val="21"/>
          <w:highlight w:val="none"/>
        </w:rPr>
        <w:t xml:space="preserve"> 月</w:t>
      </w:r>
      <w:r>
        <w:rPr>
          <w:rFonts w:hint="eastAsia" w:ascii="宋体" w:hAnsi="宋体" w:cs="宋体"/>
          <w:szCs w:val="21"/>
          <w:highlight w:val="none"/>
          <w:u w:val="single"/>
        </w:rPr>
        <w:t xml:space="preserve">       </w:t>
      </w:r>
      <w:r>
        <w:rPr>
          <w:rFonts w:hint="eastAsia" w:ascii="宋体" w:hAnsi="宋体" w:cs="宋体"/>
          <w:szCs w:val="21"/>
          <w:highlight w:val="none"/>
        </w:rPr>
        <w:t xml:space="preserve"> 日</w:t>
      </w:r>
    </w:p>
    <w:p>
      <w:pPr>
        <w:spacing w:line="400" w:lineRule="exact"/>
        <w:rPr>
          <w:rFonts w:ascii="宋体" w:hAnsi="宋体" w:cs="宋体"/>
          <w:szCs w:val="21"/>
          <w:highlight w:val="none"/>
        </w:rPr>
      </w:pPr>
      <w:r>
        <w:rPr>
          <w:rFonts w:hint="eastAsia" w:ascii="宋体" w:hAnsi="宋体" w:cs="宋体"/>
          <w:szCs w:val="21"/>
          <w:highlight w:val="none"/>
        </w:rPr>
        <w:t>经营期限：</w:t>
      </w:r>
      <w:r>
        <w:rPr>
          <w:rFonts w:hint="eastAsia" w:ascii="宋体" w:hAnsi="宋体" w:cs="宋体"/>
          <w:szCs w:val="21"/>
          <w:highlight w:val="none"/>
          <w:u w:val="single"/>
        </w:rPr>
        <w:t xml:space="preserve">                               </w:t>
      </w:r>
    </w:p>
    <w:p>
      <w:pPr>
        <w:spacing w:line="400" w:lineRule="exact"/>
        <w:rPr>
          <w:rFonts w:ascii="宋体" w:hAnsi="宋体" w:cs="宋体"/>
          <w:szCs w:val="21"/>
          <w:highlight w:val="none"/>
        </w:rPr>
      </w:pPr>
      <w:r>
        <w:rPr>
          <w:rFonts w:hint="eastAsia" w:ascii="宋体" w:hAnsi="宋体" w:cs="宋体"/>
          <w:szCs w:val="21"/>
          <w:highlight w:val="none"/>
        </w:rPr>
        <w:t>姓名：</w:t>
      </w:r>
      <w:r>
        <w:rPr>
          <w:rFonts w:hint="eastAsia" w:ascii="宋体" w:hAnsi="宋体" w:cs="宋体"/>
          <w:szCs w:val="21"/>
          <w:highlight w:val="none"/>
          <w:u w:val="single"/>
        </w:rPr>
        <w:t xml:space="preserve">        </w:t>
      </w:r>
      <w:r>
        <w:rPr>
          <w:rFonts w:hint="eastAsia" w:ascii="宋体" w:hAnsi="宋体" w:cs="宋体"/>
          <w:szCs w:val="21"/>
          <w:highlight w:val="none"/>
        </w:rPr>
        <w:t xml:space="preserve"> 性别：</w:t>
      </w:r>
      <w:r>
        <w:rPr>
          <w:rFonts w:hint="eastAsia" w:ascii="宋体" w:hAnsi="宋体" w:cs="宋体"/>
          <w:szCs w:val="21"/>
          <w:highlight w:val="none"/>
          <w:u w:val="single"/>
        </w:rPr>
        <w:t xml:space="preserve">         </w:t>
      </w:r>
      <w:r>
        <w:rPr>
          <w:rFonts w:hint="eastAsia" w:ascii="宋体" w:hAnsi="宋体" w:cs="宋体"/>
          <w:szCs w:val="21"/>
          <w:highlight w:val="none"/>
        </w:rPr>
        <w:t xml:space="preserve"> 年龄：</w:t>
      </w:r>
      <w:r>
        <w:rPr>
          <w:rFonts w:hint="eastAsia" w:ascii="宋体" w:hAnsi="宋体" w:cs="宋体"/>
          <w:szCs w:val="21"/>
          <w:highlight w:val="none"/>
          <w:u w:val="single"/>
        </w:rPr>
        <w:t xml:space="preserve">        </w:t>
      </w:r>
      <w:r>
        <w:rPr>
          <w:rFonts w:hint="eastAsia" w:ascii="宋体" w:hAnsi="宋体" w:cs="宋体"/>
          <w:szCs w:val="21"/>
          <w:highlight w:val="none"/>
        </w:rPr>
        <w:t>身份证号码：</w:t>
      </w:r>
      <w:r>
        <w:rPr>
          <w:rFonts w:hint="eastAsia" w:ascii="宋体" w:hAnsi="宋体" w:cs="宋体"/>
          <w:szCs w:val="21"/>
          <w:highlight w:val="none"/>
          <w:u w:val="single"/>
        </w:rPr>
        <w:t xml:space="preserve">                    </w:t>
      </w:r>
      <w:r>
        <w:rPr>
          <w:rFonts w:hint="eastAsia" w:ascii="宋体" w:hAnsi="宋体" w:cs="宋体"/>
          <w:szCs w:val="21"/>
          <w:highlight w:val="none"/>
        </w:rPr>
        <w:t>职务：</w:t>
      </w:r>
      <w:r>
        <w:rPr>
          <w:rFonts w:hint="eastAsia" w:ascii="宋体" w:hAnsi="宋体" w:cs="宋体"/>
          <w:szCs w:val="21"/>
          <w:highlight w:val="none"/>
          <w:u w:val="single"/>
        </w:rPr>
        <w:t xml:space="preserve">             </w:t>
      </w:r>
      <w:r>
        <w:rPr>
          <w:rFonts w:hint="eastAsia" w:ascii="宋体" w:hAnsi="宋体" w:cs="宋体"/>
          <w:szCs w:val="21"/>
          <w:highlight w:val="none"/>
        </w:rPr>
        <w:t>系</w:t>
      </w:r>
      <w:r>
        <w:rPr>
          <w:rFonts w:hint="eastAsia" w:ascii="宋体" w:hAnsi="宋体" w:cs="宋体"/>
          <w:szCs w:val="21"/>
          <w:highlight w:val="none"/>
          <w:u w:val="single"/>
        </w:rPr>
        <w:t xml:space="preserve">                 </w:t>
      </w:r>
      <w:r>
        <w:rPr>
          <w:rFonts w:hint="eastAsia" w:ascii="宋体" w:hAnsi="宋体" w:cs="宋体"/>
          <w:szCs w:val="21"/>
          <w:highlight w:val="none"/>
        </w:rPr>
        <w:t xml:space="preserve"> (投标人名称)的法定代表人（负责人）。</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特此证明。</w:t>
      </w:r>
    </w:p>
    <w:p>
      <w:pPr>
        <w:spacing w:line="400" w:lineRule="exact"/>
        <w:rPr>
          <w:rFonts w:ascii="宋体" w:hAnsi="宋体" w:cs="宋体"/>
          <w:szCs w:val="21"/>
          <w:highlight w:val="none"/>
        </w:rPr>
      </w:pPr>
    </w:p>
    <w:p>
      <w:pPr>
        <w:spacing w:line="400" w:lineRule="exact"/>
        <w:rPr>
          <w:rFonts w:ascii="宋体" w:hAnsi="宋体" w:cs="宋体"/>
          <w:szCs w:val="21"/>
          <w:highlight w:val="none"/>
        </w:rPr>
      </w:pPr>
    </w:p>
    <w:p>
      <w:pPr>
        <w:spacing w:line="400" w:lineRule="exact"/>
        <w:rPr>
          <w:rFonts w:ascii="宋体" w:hAnsi="宋体" w:cs="宋体"/>
          <w:szCs w:val="21"/>
          <w:highlight w:val="none"/>
        </w:rPr>
      </w:pPr>
    </w:p>
    <w:p>
      <w:pPr>
        <w:spacing w:line="400" w:lineRule="exact"/>
        <w:jc w:val="right"/>
        <w:rPr>
          <w:rFonts w:ascii="宋体" w:hAnsi="宋体" w:cs="宋体"/>
          <w:szCs w:val="21"/>
          <w:highlight w:val="none"/>
        </w:rPr>
      </w:pPr>
      <w:r>
        <w:rPr>
          <w:rFonts w:hint="eastAsia" w:ascii="宋体" w:hAnsi="宋体" w:cs="宋体"/>
          <w:szCs w:val="21"/>
          <w:highlight w:val="none"/>
        </w:rPr>
        <w:t>投标人：</w:t>
      </w:r>
      <w:r>
        <w:rPr>
          <w:rFonts w:hint="eastAsia" w:ascii="宋体" w:hAnsi="宋体" w:cs="宋体"/>
          <w:szCs w:val="21"/>
          <w:highlight w:val="none"/>
          <w:u w:val="single"/>
        </w:rPr>
        <w:t xml:space="preserve">                 </w:t>
      </w:r>
      <w:r>
        <w:rPr>
          <w:rFonts w:hint="eastAsia" w:ascii="宋体" w:hAnsi="宋体" w:cs="宋体"/>
          <w:szCs w:val="21"/>
          <w:highlight w:val="none"/>
        </w:rPr>
        <w:t>（盖单位章）</w:t>
      </w:r>
    </w:p>
    <w:p>
      <w:pPr>
        <w:spacing w:line="400" w:lineRule="exact"/>
        <w:jc w:val="right"/>
        <w:rPr>
          <w:rFonts w:ascii="宋体" w:hAnsi="宋体" w:cs="宋体"/>
          <w:szCs w:val="21"/>
          <w:highlight w:val="none"/>
        </w:rPr>
      </w:pPr>
    </w:p>
    <w:p>
      <w:pPr>
        <w:spacing w:line="400" w:lineRule="exact"/>
        <w:jc w:val="right"/>
        <w:rPr>
          <w:rFonts w:ascii="宋体" w:hAnsi="宋体" w:cs="宋体"/>
          <w:szCs w:val="21"/>
          <w:highlight w:val="none"/>
        </w:rPr>
      </w:pP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 xml:space="preserve"> 日 </w:t>
      </w:r>
    </w:p>
    <w:p>
      <w:pPr>
        <w:pStyle w:val="14"/>
        <w:rPr>
          <w:rFonts w:hAnsi="宋体" w:cs="宋体"/>
          <w:szCs w:val="21"/>
          <w:highlight w:val="none"/>
        </w:rPr>
      </w:pPr>
    </w:p>
    <w:p>
      <w:pPr>
        <w:pStyle w:val="14"/>
        <w:rPr>
          <w:rFonts w:hAnsi="宋体" w:cs="宋体"/>
          <w:szCs w:val="21"/>
          <w:highlight w:val="none"/>
        </w:rPr>
      </w:pPr>
    </w:p>
    <w:p>
      <w:pPr>
        <w:pStyle w:val="14"/>
        <w:rPr>
          <w:rFonts w:hAnsi="宋体" w:cs="宋体"/>
          <w:szCs w:val="21"/>
          <w:highlight w:val="none"/>
        </w:rPr>
      </w:pPr>
    </w:p>
    <w:p>
      <w:pPr>
        <w:pStyle w:val="14"/>
        <w:rPr>
          <w:rFonts w:hAnsi="宋体" w:cs="宋体"/>
          <w:szCs w:val="21"/>
          <w:highlight w:val="none"/>
        </w:rPr>
      </w:pPr>
    </w:p>
    <w:p>
      <w:pPr>
        <w:pStyle w:val="14"/>
        <w:rPr>
          <w:rFonts w:hAnsi="宋体" w:cs="宋体"/>
          <w:szCs w:val="21"/>
          <w:highlight w:val="none"/>
        </w:rPr>
      </w:pPr>
      <w:r>
        <w:rPr>
          <w:rFonts w:hint="eastAsia" w:hAnsi="宋体" w:cs="宋体"/>
          <w:highlight w:val="none"/>
        </w:rPr>
        <mc:AlternateContent>
          <mc:Choice Requires="wps">
            <w:drawing>
              <wp:anchor distT="0" distB="0" distL="114300" distR="114300" simplePos="0" relativeHeight="251666432" behindDoc="0" locked="0" layoutInCell="1" allowOverlap="1">
                <wp:simplePos x="0" y="0"/>
                <wp:positionH relativeFrom="column">
                  <wp:posOffset>95250</wp:posOffset>
                </wp:positionH>
                <wp:positionV relativeFrom="paragraph">
                  <wp:posOffset>93980</wp:posOffset>
                </wp:positionV>
                <wp:extent cx="5952490" cy="1584325"/>
                <wp:effectExtent l="4445" t="4445" r="5715" b="11430"/>
                <wp:wrapNone/>
                <wp:docPr id="10"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5952490" cy="1584325"/>
                        </a:xfrm>
                        <a:prstGeom prst="flowChartAlternateProcess">
                          <a:avLst/>
                        </a:prstGeom>
                        <a:solidFill>
                          <a:srgbClr val="FFFFFF"/>
                        </a:solidFill>
                        <a:ln w="9525">
                          <a:solidFill>
                            <a:srgbClr val="000000"/>
                          </a:solidFill>
                          <a:miter lim="200000"/>
                        </a:ln>
                        <a:effectLst/>
                      </wps:spPr>
                      <wps:txbx>
                        <w:txbxContent>
                          <w:p>
                            <w:pPr>
                              <w:pStyle w:val="12"/>
                              <w:jc w:val="center"/>
                              <w:rPr>
                                <w:rFonts w:ascii="宋体" w:hAnsi="宋体" w:cs="宋体"/>
                              </w:rPr>
                            </w:pPr>
                            <w:r>
                              <w:rPr>
                                <w:rFonts w:hint="eastAsia" w:ascii="宋体" w:hAnsi="宋体" w:cs="宋体"/>
                              </w:rPr>
                              <w:t>法定代表人身份证</w:t>
                            </w:r>
                          </w:p>
                        </w:txbxContent>
                      </wps:txbx>
                      <wps:bodyPr rot="0" vert="horz" wrap="square" lIns="91440" tIns="45720" rIns="91440" bIns="45720" anchor="t" anchorCtr="0" upright="1">
                        <a:noAutofit/>
                      </wps:bodyPr>
                    </wps:wsp>
                  </a:graphicData>
                </a:graphic>
              </wp:anchor>
            </w:drawing>
          </mc:Choice>
          <mc:Fallback>
            <w:pict>
              <v:shape id="流程图: 可选过程 2" o:spid="_x0000_s1026" o:spt="176" type="#_x0000_t176" style="position:absolute;left:0pt;margin-left:7.5pt;margin-top:7.4pt;height:124.75pt;width:468.7pt;z-index:251666432;mso-width-relative:page;mso-height-relative:page;" fillcolor="#FFFFFF" filled="t" stroked="t" coordsize="21600,21600" o:gfxdata="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D8tez/aAAAACQEAAA8AAAAAAAAAAQAgAAAAIgAAAGRycy9kb3ducmV2LnhtbFBL&#10;AQIUABQAAAAIAIdO4kDemzSvZgIAALAEAAAOAAAAAAAAAAEAIAAAACkBAABkcnMvZTJvRG9jLnht&#10;bFBLBQYAAAAABgAGAFkBAAABBgAAAAA=&#10;">
                <v:fill on="t" focussize="0,0"/>
                <v:stroke color="#000000" miterlimit="2" joinstyle="miter"/>
                <v:imagedata o:title=""/>
                <o:lock v:ext="edit" aspectratio="f"/>
                <v:textbox>
                  <w:txbxContent>
                    <w:p>
                      <w:pPr>
                        <w:pStyle w:val="12"/>
                        <w:jc w:val="center"/>
                        <w:rPr>
                          <w:rFonts w:ascii="宋体" w:hAnsi="宋体" w:cs="宋体"/>
                        </w:rPr>
                      </w:pPr>
                      <w:r>
                        <w:rPr>
                          <w:rFonts w:hint="eastAsia" w:ascii="宋体" w:hAnsi="宋体" w:cs="宋体"/>
                        </w:rPr>
                        <w:t>法定代表人身份证</w:t>
                      </w:r>
                    </w:p>
                  </w:txbxContent>
                </v:textbox>
              </v:shape>
            </w:pict>
          </mc:Fallback>
        </mc:AlternateContent>
      </w:r>
    </w:p>
    <w:p>
      <w:pPr>
        <w:pStyle w:val="14"/>
        <w:rPr>
          <w:rFonts w:hAnsi="宋体" w:cs="宋体"/>
          <w:szCs w:val="21"/>
          <w:highlight w:val="none"/>
        </w:rPr>
      </w:pPr>
    </w:p>
    <w:p>
      <w:pPr>
        <w:pStyle w:val="14"/>
        <w:rPr>
          <w:rFonts w:hAnsi="宋体" w:cs="宋体"/>
          <w:szCs w:val="21"/>
          <w:highlight w:val="none"/>
        </w:rPr>
      </w:pPr>
    </w:p>
    <w:p>
      <w:pPr>
        <w:pStyle w:val="14"/>
        <w:rPr>
          <w:rFonts w:hAnsi="宋体" w:cs="宋体"/>
          <w:szCs w:val="21"/>
          <w:highlight w:val="none"/>
        </w:rPr>
      </w:pPr>
    </w:p>
    <w:p>
      <w:pPr>
        <w:pStyle w:val="14"/>
        <w:rPr>
          <w:rFonts w:hAnsi="宋体" w:cs="宋体"/>
          <w:szCs w:val="21"/>
          <w:highlight w:val="none"/>
        </w:rPr>
      </w:pPr>
    </w:p>
    <w:p>
      <w:pPr>
        <w:pStyle w:val="14"/>
        <w:rPr>
          <w:rFonts w:hAnsi="宋体" w:cs="宋体"/>
          <w:szCs w:val="21"/>
          <w:highlight w:val="none"/>
        </w:rPr>
      </w:pPr>
    </w:p>
    <w:p>
      <w:pPr>
        <w:pStyle w:val="14"/>
        <w:rPr>
          <w:rFonts w:hAnsi="宋体" w:cs="宋体"/>
          <w:szCs w:val="21"/>
          <w:highlight w:val="none"/>
        </w:rPr>
      </w:pPr>
    </w:p>
    <w:p>
      <w:pPr>
        <w:pStyle w:val="14"/>
        <w:rPr>
          <w:rFonts w:hAnsi="宋体" w:cs="宋体"/>
          <w:szCs w:val="21"/>
          <w:highlight w:val="none"/>
        </w:rPr>
      </w:pPr>
    </w:p>
    <w:p>
      <w:pPr>
        <w:pStyle w:val="14"/>
        <w:rPr>
          <w:rFonts w:hAnsi="宋体" w:cs="宋体"/>
          <w:szCs w:val="21"/>
          <w:highlight w:val="none"/>
        </w:rPr>
      </w:pPr>
    </w:p>
    <w:p>
      <w:pPr>
        <w:pStyle w:val="14"/>
        <w:rPr>
          <w:rFonts w:hAnsi="宋体" w:cs="宋体"/>
          <w:szCs w:val="21"/>
          <w:highlight w:val="none"/>
        </w:rPr>
      </w:pPr>
    </w:p>
    <w:p>
      <w:pPr>
        <w:pStyle w:val="14"/>
        <w:rPr>
          <w:rFonts w:hAnsi="宋体" w:cs="宋体"/>
          <w:szCs w:val="21"/>
          <w:highlight w:val="none"/>
        </w:rPr>
      </w:pPr>
    </w:p>
    <w:p>
      <w:pPr>
        <w:pStyle w:val="14"/>
        <w:rPr>
          <w:rFonts w:hAnsi="宋体" w:cs="宋体"/>
          <w:szCs w:val="21"/>
          <w:highlight w:val="none"/>
        </w:rPr>
      </w:pPr>
    </w:p>
    <w:p>
      <w:pPr>
        <w:pStyle w:val="14"/>
        <w:rPr>
          <w:rFonts w:hAnsi="宋体" w:cs="宋体"/>
          <w:szCs w:val="21"/>
          <w:highlight w:val="none"/>
        </w:rPr>
      </w:pPr>
    </w:p>
    <w:p>
      <w:pPr>
        <w:pStyle w:val="14"/>
        <w:rPr>
          <w:rFonts w:hAnsi="宋体" w:cs="宋体"/>
          <w:szCs w:val="21"/>
          <w:highlight w:val="none"/>
        </w:rPr>
      </w:pPr>
    </w:p>
    <w:p>
      <w:pPr>
        <w:pStyle w:val="14"/>
        <w:numPr>
          <w:ilvl w:val="0"/>
          <w:numId w:val="6"/>
        </w:numPr>
        <w:rPr>
          <w:rFonts w:hAnsi="宋体" w:cs="宋体"/>
          <w:b/>
          <w:kern w:val="0"/>
          <w:sz w:val="32"/>
          <w:szCs w:val="32"/>
          <w:highlight w:val="none"/>
        </w:rPr>
      </w:pPr>
      <w:r>
        <w:rPr>
          <w:rFonts w:hint="eastAsia" w:hAnsi="宋体" w:cs="宋体"/>
          <w:b/>
          <w:kern w:val="0"/>
          <w:sz w:val="32"/>
          <w:szCs w:val="32"/>
          <w:highlight w:val="none"/>
        </w:rPr>
        <w:t>法定代表人（负责人）授权委托证明书</w:t>
      </w:r>
    </w:p>
    <w:p>
      <w:pPr>
        <w:spacing w:line="400" w:lineRule="exact"/>
        <w:jc w:val="center"/>
        <w:rPr>
          <w:rFonts w:hAnsi="宋体" w:cs="宋体"/>
          <w:b/>
          <w:kern w:val="0"/>
          <w:sz w:val="32"/>
          <w:szCs w:val="32"/>
          <w:highlight w:val="none"/>
        </w:rPr>
      </w:pPr>
    </w:p>
    <w:p>
      <w:pPr>
        <w:spacing w:line="400" w:lineRule="exact"/>
        <w:jc w:val="center"/>
        <w:rPr>
          <w:rFonts w:ascii="宋体" w:hAnsi="宋体" w:cs="宋体"/>
          <w:sz w:val="20"/>
          <w:szCs w:val="20"/>
          <w:highlight w:val="none"/>
        </w:rPr>
      </w:pPr>
      <w:r>
        <w:rPr>
          <w:rFonts w:hint="eastAsia" w:hAnsi="宋体" w:cs="宋体"/>
          <w:b/>
          <w:kern w:val="0"/>
          <w:sz w:val="32"/>
          <w:szCs w:val="32"/>
          <w:highlight w:val="none"/>
        </w:rPr>
        <w:t>法定代表人（负责人）授权委托证明书</w:t>
      </w:r>
    </w:p>
    <w:p>
      <w:pPr>
        <w:topLinePunct/>
        <w:spacing w:line="400" w:lineRule="exact"/>
        <w:ind w:firstLine="420" w:firstLineChars="200"/>
        <w:rPr>
          <w:rFonts w:ascii="宋体" w:hAnsi="宋体" w:cs="宋体"/>
          <w:szCs w:val="21"/>
          <w:highlight w:val="none"/>
        </w:rPr>
      </w:pPr>
    </w:p>
    <w:p>
      <w:pPr>
        <w:topLinePunct/>
        <w:spacing w:line="400" w:lineRule="exact"/>
        <w:ind w:firstLine="420" w:firstLineChars="200"/>
        <w:rPr>
          <w:rFonts w:ascii="宋体" w:hAnsi="宋体" w:cs="宋体"/>
          <w:szCs w:val="21"/>
          <w:highlight w:val="none"/>
        </w:rPr>
      </w:pPr>
      <w:r>
        <w:rPr>
          <w:rFonts w:hint="eastAsia" w:ascii="宋体" w:hAnsi="宋体" w:cs="宋体"/>
          <w:szCs w:val="21"/>
          <w:highlight w:val="none"/>
        </w:rPr>
        <w:t>本人</w:t>
      </w:r>
      <w:r>
        <w:rPr>
          <w:rFonts w:hint="eastAsia" w:ascii="宋体" w:hAnsi="宋体" w:cs="宋体"/>
          <w:szCs w:val="21"/>
          <w:highlight w:val="none"/>
          <w:u w:val="single"/>
        </w:rPr>
        <w:t xml:space="preserve">       </w:t>
      </w:r>
      <w:r>
        <w:rPr>
          <w:rFonts w:hint="eastAsia" w:ascii="宋体" w:hAnsi="宋体" w:cs="宋体"/>
          <w:szCs w:val="21"/>
          <w:highlight w:val="none"/>
        </w:rPr>
        <w:t>（姓名）系</w:t>
      </w:r>
      <w:r>
        <w:rPr>
          <w:rFonts w:hint="eastAsia" w:ascii="宋体" w:hAnsi="宋体" w:cs="宋体"/>
          <w:szCs w:val="21"/>
          <w:highlight w:val="none"/>
          <w:u w:val="single"/>
        </w:rPr>
        <w:t xml:space="preserve">        </w:t>
      </w:r>
      <w:r>
        <w:rPr>
          <w:rFonts w:hint="eastAsia" w:ascii="宋体" w:hAnsi="宋体" w:cs="宋体"/>
          <w:szCs w:val="21"/>
          <w:highlight w:val="none"/>
        </w:rPr>
        <w:t>（投标人名称）的法定代表人（负责人），现委托</w:t>
      </w:r>
      <w:r>
        <w:rPr>
          <w:rFonts w:hint="eastAsia" w:ascii="宋体" w:hAnsi="宋体" w:cs="宋体"/>
          <w:szCs w:val="21"/>
          <w:highlight w:val="none"/>
          <w:u w:val="single"/>
        </w:rPr>
        <w:t xml:space="preserve">        </w:t>
      </w:r>
      <w:r>
        <w:rPr>
          <w:rFonts w:hint="eastAsia" w:ascii="宋体" w:hAnsi="宋体" w:cs="宋体"/>
          <w:szCs w:val="21"/>
          <w:highlight w:val="none"/>
        </w:rPr>
        <w:t>（姓名）为我方委托代理人。委托代理人根据授权，以我方名义签署、澄清、说明、补正、递交、撤回、修改</w:t>
      </w:r>
      <w:r>
        <w:rPr>
          <w:rFonts w:hint="eastAsia" w:ascii="宋体" w:hAnsi="宋体" w:cs="宋体"/>
          <w:szCs w:val="21"/>
          <w:highlight w:val="none"/>
          <w:u w:val="single"/>
        </w:rPr>
        <w:t xml:space="preserve">           </w:t>
      </w:r>
      <w:r>
        <w:rPr>
          <w:rFonts w:hint="eastAsia" w:ascii="宋体" w:hAnsi="宋体" w:cs="宋体"/>
          <w:szCs w:val="21"/>
          <w:highlight w:val="none"/>
        </w:rPr>
        <w:t>（项目名称）</w:t>
      </w:r>
      <w:r>
        <w:rPr>
          <w:rFonts w:hint="eastAsia" w:ascii="宋体" w:hAnsi="宋体" w:cs="宋体"/>
          <w:szCs w:val="21"/>
          <w:highlight w:val="none"/>
          <w:u w:val="single"/>
        </w:rPr>
        <w:t xml:space="preserve">      </w:t>
      </w:r>
      <w:r>
        <w:rPr>
          <w:rFonts w:hint="eastAsia" w:ascii="宋体" w:hAnsi="宋体" w:cs="宋体"/>
          <w:szCs w:val="21"/>
          <w:highlight w:val="none"/>
        </w:rPr>
        <w:t>投标文件、签订合同和处理有关事宜，其法律后果由我方承担。</w:t>
      </w:r>
    </w:p>
    <w:p>
      <w:pPr>
        <w:spacing w:line="400" w:lineRule="exact"/>
        <w:rPr>
          <w:rFonts w:ascii="宋体" w:hAnsi="宋体" w:cs="宋体"/>
          <w:szCs w:val="21"/>
          <w:highlight w:val="none"/>
        </w:rPr>
      </w:pPr>
      <w:r>
        <w:rPr>
          <w:rFonts w:hint="eastAsia" w:ascii="宋体" w:hAnsi="宋体" w:cs="宋体"/>
          <w:szCs w:val="21"/>
          <w:highlight w:val="none"/>
        </w:rPr>
        <w:t xml:space="preserve">    委托期限：</w:t>
      </w:r>
      <w:r>
        <w:rPr>
          <w:rFonts w:hint="eastAsia" w:ascii="宋体" w:hAnsi="宋体" w:cs="宋体"/>
          <w:szCs w:val="21"/>
          <w:highlight w:val="none"/>
          <w:u w:val="single"/>
        </w:rPr>
        <w:t xml:space="preserve">             </w:t>
      </w:r>
      <w:r>
        <w:rPr>
          <w:rFonts w:hint="eastAsia" w:ascii="宋体" w:hAnsi="宋体" w:cs="宋体"/>
          <w:szCs w:val="21"/>
          <w:highlight w:val="none"/>
        </w:rPr>
        <w:t>。</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委托代理人无转委托权。</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附：法定代表人（负责人）身份证明及委托代理人身份证明。</w:t>
      </w:r>
    </w:p>
    <w:p>
      <w:pPr>
        <w:spacing w:line="400" w:lineRule="exact"/>
        <w:rPr>
          <w:rFonts w:ascii="宋体" w:hAnsi="宋体" w:cs="宋体"/>
          <w:szCs w:val="21"/>
          <w:highlight w:val="none"/>
        </w:rPr>
      </w:pPr>
    </w:p>
    <w:p>
      <w:pPr>
        <w:spacing w:line="400" w:lineRule="exact"/>
        <w:jc w:val="right"/>
        <w:rPr>
          <w:rFonts w:ascii="宋体" w:hAnsi="宋体" w:cs="宋体"/>
          <w:szCs w:val="21"/>
          <w:highlight w:val="none"/>
        </w:rPr>
      </w:pPr>
      <w:r>
        <w:rPr>
          <w:rFonts w:hint="eastAsia" w:ascii="宋体" w:hAnsi="宋体" w:cs="宋体"/>
          <w:szCs w:val="21"/>
          <w:highlight w:val="none"/>
        </w:rPr>
        <w:t>投标人：</w:t>
      </w:r>
      <w:r>
        <w:rPr>
          <w:rFonts w:hint="eastAsia" w:ascii="宋体" w:hAnsi="宋体" w:cs="宋体"/>
          <w:szCs w:val="21"/>
          <w:highlight w:val="none"/>
          <w:u w:val="single"/>
        </w:rPr>
        <w:t xml:space="preserve">                               </w:t>
      </w:r>
      <w:r>
        <w:rPr>
          <w:rFonts w:hint="eastAsia" w:ascii="宋体" w:hAnsi="宋体" w:cs="宋体"/>
          <w:szCs w:val="21"/>
          <w:highlight w:val="none"/>
        </w:rPr>
        <w:t>（盖单位章）</w:t>
      </w:r>
    </w:p>
    <w:p>
      <w:pPr>
        <w:wordWrap w:val="0"/>
        <w:spacing w:line="400" w:lineRule="exact"/>
        <w:jc w:val="right"/>
        <w:rPr>
          <w:rFonts w:ascii="宋体" w:hAnsi="宋体" w:cs="宋体"/>
          <w:szCs w:val="21"/>
          <w:highlight w:val="none"/>
        </w:rPr>
      </w:pPr>
      <w:r>
        <w:rPr>
          <w:rFonts w:hint="eastAsia" w:ascii="宋体" w:hAnsi="宋体" w:cs="宋体"/>
          <w:szCs w:val="21"/>
          <w:highlight w:val="none"/>
        </w:rPr>
        <w:t>法定代表人（负责人）：</w:t>
      </w:r>
      <w:r>
        <w:rPr>
          <w:rFonts w:hint="eastAsia" w:ascii="宋体" w:hAnsi="宋体" w:cs="宋体"/>
          <w:szCs w:val="21"/>
          <w:highlight w:val="none"/>
          <w:u w:val="single"/>
        </w:rPr>
        <w:t xml:space="preserve">                               </w:t>
      </w:r>
      <w:r>
        <w:rPr>
          <w:rFonts w:hint="eastAsia" w:ascii="宋体" w:hAnsi="宋体" w:cs="宋体"/>
          <w:szCs w:val="21"/>
          <w:highlight w:val="none"/>
        </w:rPr>
        <w:t>（签字或盖章）</w:t>
      </w:r>
    </w:p>
    <w:p>
      <w:pPr>
        <w:wordWrap w:val="0"/>
        <w:spacing w:line="400" w:lineRule="exact"/>
        <w:jc w:val="right"/>
        <w:rPr>
          <w:rFonts w:ascii="宋体" w:hAnsi="宋体" w:cs="宋体"/>
          <w:szCs w:val="21"/>
          <w:highlight w:val="none"/>
        </w:rPr>
      </w:pPr>
      <w:r>
        <w:rPr>
          <w:rFonts w:hint="eastAsia" w:ascii="宋体" w:hAnsi="宋体" w:cs="宋体"/>
          <w:szCs w:val="21"/>
          <w:highlight w:val="none"/>
        </w:rPr>
        <w:t>身份证号码：</w:t>
      </w:r>
      <w:r>
        <w:rPr>
          <w:rFonts w:hint="eastAsia" w:ascii="宋体" w:hAnsi="宋体" w:cs="宋体"/>
          <w:szCs w:val="21"/>
          <w:highlight w:val="none"/>
          <w:u w:val="single"/>
        </w:rPr>
        <w:t xml:space="preserve">                                       </w:t>
      </w:r>
    </w:p>
    <w:p>
      <w:pPr>
        <w:wordWrap w:val="0"/>
        <w:spacing w:line="400" w:lineRule="exact"/>
        <w:jc w:val="right"/>
        <w:rPr>
          <w:rFonts w:ascii="宋体" w:hAnsi="宋体" w:cs="宋体"/>
          <w:szCs w:val="21"/>
          <w:highlight w:val="none"/>
        </w:rPr>
      </w:pPr>
      <w:r>
        <w:rPr>
          <w:rFonts w:hint="eastAsia" w:ascii="宋体" w:hAnsi="宋体" w:cs="宋体"/>
          <w:szCs w:val="21"/>
          <w:highlight w:val="none"/>
        </w:rPr>
        <w:t>委托代理人：</w:t>
      </w:r>
      <w:r>
        <w:rPr>
          <w:rFonts w:hint="eastAsia" w:ascii="宋体" w:hAnsi="宋体" w:cs="宋体"/>
          <w:szCs w:val="21"/>
          <w:highlight w:val="none"/>
          <w:u w:val="single"/>
        </w:rPr>
        <w:t xml:space="preserve">                              （</w:t>
      </w:r>
      <w:r>
        <w:rPr>
          <w:rFonts w:hint="eastAsia" w:ascii="宋体" w:hAnsi="宋体" w:cs="宋体"/>
          <w:szCs w:val="21"/>
          <w:highlight w:val="none"/>
        </w:rPr>
        <w:t xml:space="preserve">签字或盖章） </w:t>
      </w:r>
    </w:p>
    <w:p>
      <w:pPr>
        <w:wordWrap w:val="0"/>
        <w:spacing w:line="400" w:lineRule="exact"/>
        <w:jc w:val="right"/>
        <w:rPr>
          <w:rFonts w:ascii="宋体" w:hAnsi="宋体" w:cs="宋体"/>
          <w:szCs w:val="21"/>
          <w:highlight w:val="none"/>
        </w:rPr>
      </w:pPr>
      <w:r>
        <w:rPr>
          <w:rFonts w:hint="eastAsia" w:ascii="宋体" w:hAnsi="宋体" w:cs="宋体"/>
          <w:szCs w:val="21"/>
          <w:highlight w:val="none"/>
        </w:rPr>
        <w:t>身份证号码：</w:t>
      </w:r>
      <w:r>
        <w:rPr>
          <w:rFonts w:hint="eastAsia" w:ascii="宋体" w:hAnsi="宋体" w:cs="宋体"/>
          <w:szCs w:val="21"/>
          <w:highlight w:val="none"/>
          <w:u w:val="single"/>
        </w:rPr>
        <w:t xml:space="preserve">                                  </w:t>
      </w:r>
      <w:bookmarkStart w:id="140" w:name="_Hlk55921123"/>
      <w:r>
        <w:rPr>
          <w:rFonts w:hint="eastAsia" w:ascii="宋体" w:hAnsi="宋体" w:cs="宋体"/>
          <w:szCs w:val="21"/>
          <w:highlight w:val="none"/>
          <w:u w:val="single"/>
        </w:rPr>
        <w:t xml:space="preserve">      </w:t>
      </w:r>
    </w:p>
    <w:p>
      <w:pPr>
        <w:spacing w:line="400" w:lineRule="exact"/>
        <w:ind w:firstLine="1575" w:firstLineChars="750"/>
        <w:jc w:val="right"/>
        <w:rPr>
          <w:rFonts w:ascii="宋体" w:hAnsi="宋体" w:cs="宋体"/>
          <w:szCs w:val="21"/>
          <w:highlight w:val="none"/>
        </w:rPr>
      </w:pPr>
      <w:r>
        <w:rPr>
          <w:rFonts w:hint="eastAsia" w:ascii="宋体" w:hAnsi="宋体" w:cs="宋体"/>
          <w:szCs w:val="21"/>
          <w:highlight w:val="none"/>
          <w:u w:val="single"/>
        </w:rPr>
        <w:t xml:space="preserve">       </w:t>
      </w:r>
      <w:r>
        <w:rPr>
          <w:rFonts w:hint="eastAsia" w:ascii="宋体" w:hAnsi="宋体" w:cs="宋体"/>
          <w:szCs w:val="21"/>
          <w:highlight w:val="none"/>
        </w:rPr>
        <w:t>年</w:t>
      </w:r>
      <w:bookmarkEnd w:id="140"/>
      <w:r>
        <w:rPr>
          <w:rFonts w:hint="eastAsia" w:ascii="宋体" w:hAnsi="宋体" w:cs="宋体"/>
          <w:szCs w:val="21"/>
          <w:highlight w:val="non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pPr>
        <w:rPr>
          <w:rFonts w:ascii="宋体" w:hAnsi="宋体" w:cs="宋体"/>
          <w:bCs/>
          <w:kern w:val="0"/>
          <w:szCs w:val="21"/>
          <w:highlight w:val="none"/>
          <w:u w:val="single"/>
        </w:rPr>
      </w:pPr>
      <w:r>
        <w:rPr>
          <w:rFonts w:hint="eastAsia" w:ascii="宋体" w:hAnsi="宋体" w:cs="宋体"/>
          <w:highlight w:val="none"/>
        </w:rPr>
        <mc:AlternateContent>
          <mc:Choice Requires="wps">
            <w:drawing>
              <wp:anchor distT="0" distB="0" distL="114300" distR="114300" simplePos="0" relativeHeight="251664384" behindDoc="0" locked="0" layoutInCell="1" allowOverlap="1">
                <wp:simplePos x="0" y="0"/>
                <wp:positionH relativeFrom="column">
                  <wp:posOffset>57150</wp:posOffset>
                </wp:positionH>
                <wp:positionV relativeFrom="paragraph">
                  <wp:posOffset>64135</wp:posOffset>
                </wp:positionV>
                <wp:extent cx="5700395" cy="1584325"/>
                <wp:effectExtent l="4445" t="4445" r="10160" b="11430"/>
                <wp:wrapNone/>
                <wp:docPr id="9" name="流程图: 可选过程 1"/>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200000"/>
                        </a:ln>
                        <a:effectLst/>
                      </wps:spPr>
                      <wps:txbx>
                        <w:txbxContent>
                          <w:p>
                            <w:pPr>
                              <w:pStyle w:val="12"/>
                              <w:jc w:val="center"/>
                              <w:rPr>
                                <w:rFonts w:ascii="宋体" w:hAnsi="宋体" w:cs="宋体"/>
                              </w:rPr>
                            </w:pPr>
                            <w:r>
                              <w:rPr>
                                <w:rFonts w:hint="eastAsia" w:ascii="宋体" w:hAnsi="宋体" w:cs="宋体"/>
                              </w:rPr>
                              <w:t>法定代表人（负责人）身份证</w:t>
                            </w:r>
                          </w:p>
                        </w:txbxContent>
                      </wps:txbx>
                      <wps:bodyPr rot="0" vert="horz" wrap="square" lIns="91440" tIns="45720" rIns="91440" bIns="45720" anchor="t" anchorCtr="0" upright="1">
                        <a:noAutofit/>
                      </wps:bodyPr>
                    </wps:wsp>
                  </a:graphicData>
                </a:graphic>
              </wp:anchor>
            </w:drawing>
          </mc:Choice>
          <mc:Fallback>
            <w:pict>
              <v:shape id="流程图: 可选过程 1" o:spid="_x0000_s1026" o:spt="176" type="#_x0000_t176" style="position:absolute;left:0pt;margin-left:4.5pt;margin-top:5.05pt;height:124.75pt;width:448.85pt;z-index:251664384;mso-width-relative:page;mso-height-relative:page;" fillcolor="#FFFFFF" filled="t" stroked="t" coordsize="21600,21600" o:gfxdata="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KR8ybXZAAAACAEAAA8AAAAAAAAAAQAgAAAAIgAAAGRycy9kb3ducmV2LnhtbFBLAQIUABQAAAAI&#10;AIdO4kAso4IsXgIAAK8EAAAOAAAAAAAAAAEAIAAAACgBAABkcnMvZTJvRG9jLnhtbFBLBQYAAAAA&#10;BgAGAFkBAAD4BQAAAAA=&#10;">
                <v:fill on="t" focussize="0,0"/>
                <v:stroke color="#000000" miterlimit="2" joinstyle="miter"/>
                <v:imagedata o:title=""/>
                <o:lock v:ext="edit" aspectratio="f"/>
                <v:textbox>
                  <w:txbxContent>
                    <w:p>
                      <w:pPr>
                        <w:pStyle w:val="12"/>
                        <w:jc w:val="center"/>
                        <w:rPr>
                          <w:rFonts w:ascii="宋体" w:hAnsi="宋体" w:cs="宋体"/>
                        </w:rPr>
                      </w:pPr>
                      <w:r>
                        <w:rPr>
                          <w:rFonts w:hint="eastAsia" w:ascii="宋体" w:hAnsi="宋体" w:cs="宋体"/>
                        </w:rPr>
                        <w:t>法定代表人（负责人）身份证</w:t>
                      </w:r>
                    </w:p>
                  </w:txbxContent>
                </v:textbox>
              </v:shape>
            </w:pict>
          </mc:Fallback>
        </mc:AlternateContent>
      </w:r>
    </w:p>
    <w:p>
      <w:pPr>
        <w:rPr>
          <w:rFonts w:ascii="宋体" w:hAnsi="宋体" w:cs="宋体"/>
          <w:highlight w:val="none"/>
        </w:rPr>
      </w:pPr>
    </w:p>
    <w:p>
      <w:pPr>
        <w:pStyle w:val="14"/>
        <w:rPr>
          <w:rFonts w:hAnsi="宋体" w:cs="宋体"/>
          <w:highlight w:val="none"/>
        </w:rPr>
      </w:pPr>
    </w:p>
    <w:p>
      <w:pPr>
        <w:pStyle w:val="14"/>
        <w:rPr>
          <w:rFonts w:hAnsi="宋体" w:cs="宋体"/>
          <w:highlight w:val="none"/>
        </w:rPr>
      </w:pPr>
    </w:p>
    <w:p>
      <w:pPr>
        <w:pStyle w:val="14"/>
        <w:rPr>
          <w:rFonts w:hAnsi="宋体" w:cs="宋体"/>
          <w:highlight w:val="none"/>
        </w:rPr>
      </w:pPr>
    </w:p>
    <w:p>
      <w:pPr>
        <w:pStyle w:val="14"/>
        <w:rPr>
          <w:rFonts w:hAnsi="宋体" w:cs="宋体"/>
          <w:highlight w:val="none"/>
        </w:rPr>
      </w:pPr>
    </w:p>
    <w:p>
      <w:pPr>
        <w:pStyle w:val="14"/>
        <w:rPr>
          <w:rFonts w:hAnsi="宋体" w:cs="宋体"/>
          <w:highlight w:val="none"/>
        </w:rPr>
      </w:pPr>
    </w:p>
    <w:p>
      <w:pPr>
        <w:pStyle w:val="14"/>
        <w:rPr>
          <w:rFonts w:hAnsi="宋体" w:cs="宋体"/>
          <w:highlight w:val="none"/>
        </w:rPr>
      </w:pPr>
    </w:p>
    <w:p>
      <w:pPr>
        <w:pStyle w:val="14"/>
        <w:rPr>
          <w:rFonts w:hAnsi="宋体" w:cs="宋体"/>
          <w:highlight w:val="none"/>
        </w:rPr>
      </w:pPr>
      <w:r>
        <w:rPr>
          <w:rFonts w:hint="eastAsia" w:hAnsi="宋体" w:cs="宋体"/>
          <w:highlight w:val="none"/>
        </w:rPr>
        <mc:AlternateContent>
          <mc:Choice Requires="wps">
            <w:drawing>
              <wp:anchor distT="0" distB="0" distL="114300" distR="114300" simplePos="0" relativeHeight="251665408" behindDoc="0" locked="0" layoutInCell="1" allowOverlap="1">
                <wp:simplePos x="0" y="0"/>
                <wp:positionH relativeFrom="column">
                  <wp:posOffset>28575</wp:posOffset>
                </wp:positionH>
                <wp:positionV relativeFrom="paragraph">
                  <wp:posOffset>109855</wp:posOffset>
                </wp:positionV>
                <wp:extent cx="5681980" cy="1784350"/>
                <wp:effectExtent l="5080" t="4445" r="8890" b="20955"/>
                <wp:wrapNone/>
                <wp:docPr id="2" name="流程图: 可选过程 1"/>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200000"/>
                        </a:ln>
                        <a:effectLst/>
                      </wps:spPr>
                      <wps:txbx>
                        <w:txbxContent>
                          <w:p>
                            <w:pPr>
                              <w:pStyle w:val="12"/>
                              <w:jc w:val="center"/>
                              <w:rPr>
                                <w:rFonts w:ascii="宋体" w:hAnsi="宋体" w:cs="宋体"/>
                              </w:rPr>
                            </w:pPr>
                            <w:r>
                              <w:rPr>
                                <w:rFonts w:hint="eastAsia" w:ascii="宋体" w:hAnsi="宋体" w:cs="宋体"/>
                                <w:szCs w:val="21"/>
                              </w:rPr>
                              <w:t>委托代理人身份证</w:t>
                            </w:r>
                          </w:p>
                        </w:txbxContent>
                      </wps:txbx>
                      <wps:bodyPr rot="0" vert="horz" wrap="square" lIns="91440" tIns="45720" rIns="91440" bIns="45720" anchor="t" anchorCtr="0" upright="1">
                        <a:noAutofit/>
                      </wps:bodyPr>
                    </wps:wsp>
                  </a:graphicData>
                </a:graphic>
              </wp:anchor>
            </w:drawing>
          </mc:Choice>
          <mc:Fallback>
            <w:pict>
              <v:shape id="流程图: 可选过程 1" o:spid="_x0000_s1026" o:spt="176" type="#_x0000_t176" style="position:absolute;left:0pt;margin-left:2.25pt;margin-top:8.65pt;height:140.5pt;width:447.4pt;z-index:251665408;mso-width-relative:page;mso-height-relative:page;" fillcolor="#FFFFFF" filled="t" stroked="t" coordsize="21600,21600" o:gfxdata="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Tp8XFtoAAAAIAQAADwAAAAAAAAABACAAAAAiAAAAZHJzL2Rvd25yZXYueG1sUEsBAhQAFAAA&#10;AAgAh07iQJSlmNtfAgAArwQAAA4AAAAAAAAAAQAgAAAAKQEAAGRycy9lMm9Eb2MueG1sUEsFBgAA&#10;AAAGAAYAWQEAAPoFAAAAAA==&#10;">
                <v:fill on="t" focussize="0,0"/>
                <v:stroke color="#000000" miterlimit="2" joinstyle="miter"/>
                <v:imagedata o:title=""/>
                <o:lock v:ext="edit" aspectratio="f"/>
                <v:textbox>
                  <w:txbxContent>
                    <w:p>
                      <w:pPr>
                        <w:pStyle w:val="12"/>
                        <w:jc w:val="center"/>
                        <w:rPr>
                          <w:rFonts w:ascii="宋体" w:hAnsi="宋体" w:cs="宋体"/>
                        </w:rPr>
                      </w:pPr>
                      <w:r>
                        <w:rPr>
                          <w:rFonts w:hint="eastAsia" w:ascii="宋体" w:hAnsi="宋体" w:cs="宋体"/>
                          <w:szCs w:val="21"/>
                        </w:rPr>
                        <w:t>委托代理人身份证</w:t>
                      </w:r>
                    </w:p>
                  </w:txbxContent>
                </v:textbox>
              </v:shape>
            </w:pict>
          </mc:Fallback>
        </mc:AlternateContent>
      </w:r>
    </w:p>
    <w:p>
      <w:pPr>
        <w:pStyle w:val="14"/>
        <w:rPr>
          <w:rFonts w:hAnsi="宋体" w:cs="宋体"/>
          <w:highlight w:val="none"/>
        </w:rPr>
      </w:pPr>
    </w:p>
    <w:p>
      <w:pPr>
        <w:pStyle w:val="14"/>
        <w:rPr>
          <w:rFonts w:hAnsi="宋体" w:cs="宋体"/>
          <w:highlight w:val="none"/>
        </w:rPr>
      </w:pPr>
    </w:p>
    <w:p>
      <w:pPr>
        <w:rPr>
          <w:rFonts w:ascii="宋体" w:hAnsi="宋体" w:cs="宋体"/>
          <w:bCs/>
          <w:kern w:val="0"/>
          <w:szCs w:val="21"/>
          <w:highlight w:val="none"/>
          <w:u w:val="single"/>
        </w:rPr>
      </w:pPr>
    </w:p>
    <w:p>
      <w:pPr>
        <w:rPr>
          <w:rFonts w:ascii="宋体" w:hAnsi="宋体" w:cs="宋体"/>
          <w:bCs/>
          <w:kern w:val="0"/>
          <w:szCs w:val="21"/>
          <w:highlight w:val="none"/>
          <w:u w:val="single"/>
        </w:rPr>
      </w:pPr>
    </w:p>
    <w:p>
      <w:pPr>
        <w:rPr>
          <w:rFonts w:ascii="宋体" w:hAnsi="宋体" w:cs="宋体"/>
          <w:bCs/>
          <w:kern w:val="0"/>
          <w:szCs w:val="21"/>
          <w:highlight w:val="none"/>
          <w:u w:val="single"/>
        </w:rPr>
      </w:pPr>
    </w:p>
    <w:p>
      <w:pPr>
        <w:rPr>
          <w:rFonts w:ascii="宋体" w:hAnsi="宋体" w:cs="宋体"/>
          <w:bCs/>
          <w:kern w:val="0"/>
          <w:szCs w:val="21"/>
          <w:highlight w:val="none"/>
          <w:u w:val="single"/>
        </w:rPr>
      </w:pPr>
    </w:p>
    <w:p>
      <w:pPr>
        <w:rPr>
          <w:rFonts w:ascii="宋体" w:hAnsi="宋体" w:cs="宋体"/>
          <w:bCs/>
          <w:kern w:val="0"/>
          <w:szCs w:val="21"/>
          <w:highlight w:val="none"/>
          <w:u w:val="single"/>
        </w:rPr>
      </w:pPr>
    </w:p>
    <w:p>
      <w:pPr>
        <w:rPr>
          <w:rFonts w:ascii="宋体" w:hAnsi="宋体" w:cs="宋体"/>
          <w:bCs/>
          <w:kern w:val="0"/>
          <w:szCs w:val="21"/>
          <w:highlight w:val="none"/>
          <w:u w:val="single"/>
        </w:rPr>
      </w:pPr>
    </w:p>
    <w:p>
      <w:pPr>
        <w:rPr>
          <w:rFonts w:ascii="宋体" w:hAnsi="宋体" w:cs="宋体"/>
          <w:bCs/>
          <w:kern w:val="0"/>
          <w:szCs w:val="21"/>
          <w:highlight w:val="none"/>
          <w:u w:val="single"/>
        </w:rPr>
      </w:pPr>
    </w:p>
    <w:p>
      <w:pPr>
        <w:pStyle w:val="2"/>
        <w:rPr>
          <w:rFonts w:ascii="宋体" w:cs="宋体"/>
          <w:kern w:val="0"/>
          <w:szCs w:val="21"/>
          <w:highlight w:val="none"/>
          <w:u w:val="single"/>
        </w:rPr>
      </w:pPr>
    </w:p>
    <w:p>
      <w:pPr>
        <w:pStyle w:val="2"/>
        <w:rPr>
          <w:rFonts w:ascii="宋体" w:cs="宋体"/>
          <w:kern w:val="0"/>
          <w:szCs w:val="21"/>
          <w:highlight w:val="none"/>
          <w:u w:val="single"/>
        </w:rPr>
      </w:pPr>
    </w:p>
    <w:p>
      <w:pPr>
        <w:pStyle w:val="14"/>
        <w:numPr>
          <w:ilvl w:val="0"/>
          <w:numId w:val="6"/>
        </w:numPr>
        <w:rPr>
          <w:rFonts w:hAnsi="宋体" w:cs="宋体"/>
          <w:b/>
          <w:kern w:val="0"/>
          <w:sz w:val="32"/>
          <w:szCs w:val="32"/>
          <w:highlight w:val="none"/>
        </w:rPr>
      </w:pPr>
      <w:r>
        <w:rPr>
          <w:rFonts w:hint="eastAsia" w:hAnsi="宋体" w:cs="宋体"/>
          <w:b/>
          <w:kern w:val="0"/>
          <w:sz w:val="32"/>
          <w:szCs w:val="32"/>
          <w:highlight w:val="none"/>
        </w:rPr>
        <w:t>承诺函</w:t>
      </w:r>
    </w:p>
    <w:p>
      <w:pPr>
        <w:jc w:val="center"/>
        <w:rPr>
          <w:rFonts w:ascii="宋体" w:hAnsi="宋体"/>
          <w:sz w:val="24"/>
          <w:szCs w:val="32"/>
          <w:highlight w:val="none"/>
        </w:rPr>
      </w:pPr>
      <w:r>
        <w:rPr>
          <w:rFonts w:hint="eastAsia" w:hAnsi="宋体" w:cs="宋体"/>
          <w:b/>
          <w:kern w:val="0"/>
          <w:sz w:val="32"/>
          <w:szCs w:val="32"/>
          <w:highlight w:val="none"/>
        </w:rPr>
        <w:t>承诺函</w:t>
      </w:r>
    </w:p>
    <w:p>
      <w:pPr>
        <w:spacing w:line="360" w:lineRule="auto"/>
        <w:rPr>
          <w:rFonts w:ascii="宋体" w:hAnsi="宋体"/>
          <w:sz w:val="24"/>
          <w:szCs w:val="32"/>
          <w:highlight w:val="none"/>
        </w:rPr>
      </w:pPr>
      <w:r>
        <w:rPr>
          <w:rFonts w:hint="eastAsia" w:ascii="宋体" w:hAnsi="宋体"/>
          <w:sz w:val="24"/>
          <w:szCs w:val="32"/>
          <w:highlight w:val="none"/>
        </w:rPr>
        <w:t>致：</w:t>
      </w:r>
      <w:r>
        <w:rPr>
          <w:rFonts w:hint="eastAsia" w:ascii="宋体" w:hAnsi="宋体"/>
          <w:sz w:val="24"/>
          <w:szCs w:val="32"/>
          <w:highlight w:val="none"/>
          <w:u w:val="single"/>
        </w:rPr>
        <w:t>（招标人、招标代理机构）</w:t>
      </w:r>
    </w:p>
    <w:p>
      <w:pPr>
        <w:pStyle w:val="2"/>
        <w:spacing w:line="360" w:lineRule="auto"/>
        <w:rPr>
          <w:rFonts w:ascii="宋体" w:eastAsia="宋体" w:cs="宋体"/>
          <w:b w:val="0"/>
          <w:bCs w:val="0"/>
          <w:kern w:val="0"/>
          <w:sz w:val="24"/>
          <w:szCs w:val="24"/>
          <w:highlight w:val="none"/>
          <w:u w:val="single"/>
        </w:rPr>
      </w:pPr>
      <w:r>
        <w:rPr>
          <w:rFonts w:hint="eastAsia" w:ascii="宋体" w:eastAsia="宋体" w:cs="宋体"/>
          <w:b w:val="0"/>
          <w:bCs w:val="0"/>
          <w:kern w:val="0"/>
          <w:sz w:val="24"/>
          <w:szCs w:val="24"/>
          <w:highlight w:val="none"/>
          <w:u w:val="single"/>
        </w:rPr>
        <w:t>（投标人）</w:t>
      </w:r>
      <w:r>
        <w:rPr>
          <w:rFonts w:hint="eastAsia" w:ascii="宋体" w:eastAsia="宋体" w:cs="宋体"/>
          <w:b w:val="0"/>
          <w:bCs w:val="0"/>
          <w:kern w:val="0"/>
          <w:sz w:val="24"/>
          <w:szCs w:val="24"/>
          <w:highlight w:val="none"/>
        </w:rPr>
        <w:t>愿意参与</w:t>
      </w:r>
      <w:r>
        <w:rPr>
          <w:rFonts w:hint="eastAsia" w:ascii="宋体" w:eastAsia="宋体" w:cs="宋体"/>
          <w:b w:val="0"/>
          <w:bCs w:val="0"/>
          <w:kern w:val="0"/>
          <w:sz w:val="24"/>
          <w:szCs w:val="24"/>
          <w:highlight w:val="none"/>
          <w:u w:val="single"/>
        </w:rPr>
        <w:t>（招标人）</w:t>
      </w:r>
      <w:r>
        <w:rPr>
          <w:rFonts w:hint="eastAsia" w:ascii="宋体" w:eastAsia="宋体" w:cs="宋体"/>
          <w:b w:val="0"/>
          <w:bCs w:val="0"/>
          <w:kern w:val="0"/>
          <w:sz w:val="24"/>
          <w:szCs w:val="24"/>
          <w:highlight w:val="none"/>
        </w:rPr>
        <w:t>组织的</w:t>
      </w:r>
      <w:r>
        <w:rPr>
          <w:rFonts w:hint="eastAsia" w:ascii="宋体" w:eastAsia="宋体" w:cs="宋体"/>
          <w:b w:val="0"/>
          <w:bCs w:val="0"/>
          <w:kern w:val="0"/>
          <w:sz w:val="24"/>
          <w:szCs w:val="24"/>
          <w:highlight w:val="none"/>
          <w:u w:val="single"/>
        </w:rPr>
        <w:t>（项目名称）</w:t>
      </w:r>
      <w:r>
        <w:rPr>
          <w:rFonts w:hint="eastAsia" w:ascii="宋体" w:eastAsia="宋体" w:cs="宋体"/>
          <w:b w:val="0"/>
          <w:bCs w:val="0"/>
          <w:kern w:val="0"/>
          <w:sz w:val="24"/>
          <w:szCs w:val="24"/>
          <w:highlight w:val="none"/>
        </w:rPr>
        <w:t>投标，现就投标事宜承诺如下：</w:t>
      </w:r>
    </w:p>
    <w:p>
      <w:pPr>
        <w:pStyle w:val="2"/>
        <w:numPr>
          <w:ilvl w:val="0"/>
          <w:numId w:val="8"/>
        </w:numPr>
        <w:spacing w:line="360" w:lineRule="auto"/>
        <w:rPr>
          <w:rFonts w:ascii="宋体" w:eastAsia="宋体" w:cs="宋体"/>
          <w:b w:val="0"/>
          <w:bCs w:val="0"/>
          <w:kern w:val="0"/>
          <w:sz w:val="24"/>
          <w:szCs w:val="24"/>
          <w:highlight w:val="none"/>
        </w:rPr>
      </w:pPr>
      <w:r>
        <w:rPr>
          <w:rFonts w:hint="eastAsia" w:ascii="宋体" w:eastAsia="宋体" w:cs="宋体"/>
          <w:b w:val="0"/>
          <w:bCs w:val="0"/>
          <w:kern w:val="0"/>
          <w:sz w:val="24"/>
          <w:szCs w:val="24"/>
          <w:highlight w:val="none"/>
        </w:rPr>
        <w:t>我方是在法律、财务和运作上独立于招标人、招标代理机构的投标人，提交的所有文件和全部说明、承诺是真实、有效、正确的；</w:t>
      </w:r>
    </w:p>
    <w:p>
      <w:pPr>
        <w:pStyle w:val="2"/>
        <w:numPr>
          <w:ilvl w:val="0"/>
          <w:numId w:val="8"/>
        </w:numPr>
        <w:spacing w:line="360" w:lineRule="auto"/>
        <w:rPr>
          <w:rFonts w:ascii="宋体" w:eastAsia="宋体" w:cs="宋体"/>
          <w:b w:val="0"/>
          <w:bCs w:val="0"/>
          <w:kern w:val="0"/>
          <w:sz w:val="24"/>
          <w:szCs w:val="24"/>
          <w:highlight w:val="none"/>
        </w:rPr>
      </w:pPr>
      <w:r>
        <w:rPr>
          <w:rFonts w:hint="eastAsia" w:ascii="宋体" w:eastAsia="宋体" w:cs="宋体"/>
          <w:b w:val="0"/>
          <w:bCs w:val="0"/>
          <w:kern w:val="0"/>
          <w:sz w:val="24"/>
          <w:szCs w:val="24"/>
          <w:highlight w:val="none"/>
        </w:rPr>
        <w:t>我方具有履行本项目合同的能力；是所投标采购物资的制造商或制造商授权参加本次投标的唯一授权代理商；</w:t>
      </w:r>
    </w:p>
    <w:p>
      <w:pPr>
        <w:pStyle w:val="2"/>
        <w:numPr>
          <w:ilvl w:val="0"/>
          <w:numId w:val="8"/>
        </w:numPr>
        <w:spacing w:line="360" w:lineRule="auto"/>
        <w:rPr>
          <w:rFonts w:ascii="宋体" w:eastAsia="宋体" w:cs="宋体"/>
          <w:b w:val="0"/>
          <w:bCs w:val="0"/>
          <w:kern w:val="0"/>
          <w:sz w:val="24"/>
          <w:szCs w:val="24"/>
          <w:highlight w:val="none"/>
        </w:rPr>
      </w:pPr>
      <w:r>
        <w:rPr>
          <w:rFonts w:hint="eastAsia" w:ascii="宋体" w:eastAsia="宋体" w:cs="宋体"/>
          <w:b w:val="0"/>
          <w:bCs w:val="0"/>
          <w:kern w:val="0"/>
          <w:sz w:val="24"/>
          <w:szCs w:val="24"/>
          <w:highlight w:val="none"/>
        </w:rPr>
        <w:t>我方保证在参加经营活动近三年内，没有重大安全事故及违法记录；</w:t>
      </w:r>
    </w:p>
    <w:p>
      <w:pPr>
        <w:pStyle w:val="2"/>
        <w:numPr>
          <w:ilvl w:val="0"/>
          <w:numId w:val="8"/>
        </w:numPr>
        <w:spacing w:line="360" w:lineRule="auto"/>
        <w:rPr>
          <w:rFonts w:ascii="宋体" w:eastAsia="宋体" w:cs="宋体"/>
          <w:b w:val="0"/>
          <w:bCs w:val="0"/>
          <w:kern w:val="0"/>
          <w:sz w:val="24"/>
          <w:szCs w:val="24"/>
          <w:highlight w:val="none"/>
        </w:rPr>
      </w:pPr>
      <w:r>
        <w:rPr>
          <w:rFonts w:hint="eastAsia" w:ascii="宋体" w:eastAsia="宋体" w:cs="宋体"/>
          <w:b w:val="0"/>
          <w:bCs w:val="0"/>
          <w:kern w:val="0"/>
          <w:sz w:val="24"/>
          <w:szCs w:val="24"/>
          <w:highlight w:val="none"/>
        </w:rPr>
        <w:t>我方具有良好的主体资信和商业信誉，没有处于被责令停业或破产状态，且资产未被重组、接管和冻结的情形，不存在任何其他可能影响投标人资格的情形；</w:t>
      </w:r>
    </w:p>
    <w:p>
      <w:pPr>
        <w:pStyle w:val="2"/>
        <w:numPr>
          <w:ilvl w:val="0"/>
          <w:numId w:val="8"/>
        </w:numPr>
        <w:spacing w:line="360" w:lineRule="auto"/>
        <w:rPr>
          <w:rFonts w:ascii="宋体" w:eastAsia="宋体" w:cs="宋体"/>
          <w:b w:val="0"/>
          <w:bCs w:val="0"/>
          <w:kern w:val="0"/>
          <w:sz w:val="24"/>
          <w:szCs w:val="24"/>
          <w:highlight w:val="none"/>
        </w:rPr>
      </w:pPr>
      <w:r>
        <w:rPr>
          <w:rFonts w:hint="eastAsia" w:ascii="宋体" w:eastAsia="宋体" w:cs="宋体"/>
          <w:b w:val="0"/>
          <w:bCs w:val="0"/>
          <w:kern w:val="0"/>
          <w:sz w:val="24"/>
          <w:szCs w:val="24"/>
          <w:highlight w:val="none"/>
        </w:rPr>
        <w:t>我方具有良好的商业信誉和健全的财务会计制度，</w:t>
      </w:r>
      <w:r>
        <w:rPr>
          <w:rFonts w:hint="eastAsia" w:ascii="宋体" w:eastAsia="宋体" w:cs="宋体"/>
          <w:b w:val="0"/>
          <w:bCs w:val="0"/>
          <w:sz w:val="24"/>
          <w:szCs w:val="24"/>
          <w:highlight w:val="none"/>
        </w:rPr>
        <w:t>有依法缴纳税收和社会保障资金的良好记录；</w:t>
      </w:r>
    </w:p>
    <w:p>
      <w:pPr>
        <w:pStyle w:val="2"/>
        <w:numPr>
          <w:ilvl w:val="0"/>
          <w:numId w:val="8"/>
        </w:numPr>
        <w:spacing w:line="360" w:lineRule="auto"/>
        <w:rPr>
          <w:rFonts w:ascii="宋体" w:eastAsia="宋体" w:cs="宋体"/>
          <w:b w:val="0"/>
          <w:bCs w:val="0"/>
          <w:kern w:val="0"/>
          <w:sz w:val="24"/>
          <w:szCs w:val="24"/>
          <w:highlight w:val="none"/>
        </w:rPr>
      </w:pPr>
      <w:r>
        <w:rPr>
          <w:rFonts w:hint="eastAsia" w:ascii="宋体" w:eastAsia="宋体" w:cs="宋体"/>
          <w:b w:val="0"/>
          <w:bCs w:val="0"/>
          <w:kern w:val="0"/>
          <w:sz w:val="24"/>
          <w:szCs w:val="24"/>
          <w:highlight w:val="none"/>
        </w:rPr>
        <w:t>我方未被列入“信用中国”网站（www.creditchina.gov.cn）“记录失信被执行人或重大税收违法案件当事人名单”记录名单；</w:t>
      </w:r>
    </w:p>
    <w:p>
      <w:pPr>
        <w:pStyle w:val="2"/>
        <w:numPr>
          <w:ilvl w:val="0"/>
          <w:numId w:val="8"/>
        </w:numPr>
        <w:spacing w:line="360" w:lineRule="auto"/>
        <w:rPr>
          <w:rFonts w:ascii="宋体" w:eastAsia="宋体" w:cs="宋体"/>
          <w:b w:val="0"/>
          <w:bCs w:val="0"/>
          <w:kern w:val="0"/>
          <w:sz w:val="24"/>
          <w:szCs w:val="24"/>
          <w:highlight w:val="none"/>
        </w:rPr>
      </w:pPr>
      <w:r>
        <w:rPr>
          <w:rFonts w:hint="eastAsia" w:ascii="宋体" w:eastAsia="宋体" w:cs="宋体"/>
          <w:b w:val="0"/>
          <w:bCs w:val="0"/>
          <w:kern w:val="0"/>
          <w:sz w:val="24"/>
          <w:szCs w:val="24"/>
          <w:highlight w:val="none"/>
        </w:rPr>
        <w:t>我方未在以往投标中因不诚信行为或不充分履约行为被本项目招标人书面拒绝投标；</w:t>
      </w:r>
    </w:p>
    <w:p>
      <w:pPr>
        <w:pStyle w:val="2"/>
        <w:numPr>
          <w:ilvl w:val="0"/>
          <w:numId w:val="8"/>
        </w:numPr>
        <w:spacing w:line="360" w:lineRule="auto"/>
        <w:rPr>
          <w:rFonts w:ascii="宋体" w:eastAsia="宋体" w:cs="宋体"/>
          <w:b w:val="0"/>
          <w:bCs w:val="0"/>
          <w:kern w:val="0"/>
          <w:sz w:val="24"/>
          <w:szCs w:val="24"/>
          <w:highlight w:val="none"/>
        </w:rPr>
      </w:pPr>
      <w:r>
        <w:rPr>
          <w:rFonts w:hint="eastAsia" w:ascii="宋体" w:eastAsia="宋体" w:cs="宋体"/>
          <w:b w:val="0"/>
          <w:bCs w:val="0"/>
          <w:kern w:val="0"/>
          <w:sz w:val="24"/>
          <w:szCs w:val="24"/>
          <w:highlight w:val="none"/>
        </w:rPr>
        <w:t>与本公司单位负责人为同一人或者与本公司存在控股、管理关系的其他单位包括：</w:t>
      </w:r>
      <w:r>
        <w:rPr>
          <w:rFonts w:hint="eastAsia" w:ascii="宋体" w:eastAsia="宋体" w:cs="宋体"/>
          <w:b w:val="0"/>
          <w:bCs w:val="0"/>
          <w:kern w:val="0"/>
          <w:sz w:val="24"/>
          <w:szCs w:val="24"/>
          <w:highlight w:val="none"/>
          <w:u w:val="single"/>
        </w:rPr>
        <w:t xml:space="preserve">         </w:t>
      </w:r>
      <w:r>
        <w:rPr>
          <w:rFonts w:hint="eastAsia" w:ascii="宋体" w:eastAsia="宋体" w:cs="宋体"/>
          <w:b w:val="0"/>
          <w:bCs w:val="0"/>
          <w:kern w:val="0"/>
          <w:sz w:val="24"/>
          <w:szCs w:val="24"/>
          <w:highlight w:val="none"/>
        </w:rPr>
        <w:t>。（注：本条由投标人如实填写，如有，应列出全部满足招标公告资质要求的相关单位的名称；如无，则填写“无”。）</w:t>
      </w:r>
    </w:p>
    <w:p>
      <w:pPr>
        <w:pStyle w:val="2"/>
        <w:numPr>
          <w:ilvl w:val="0"/>
          <w:numId w:val="8"/>
        </w:numPr>
        <w:spacing w:line="360" w:lineRule="auto"/>
        <w:rPr>
          <w:rFonts w:ascii="宋体" w:eastAsia="宋体" w:cs="宋体"/>
          <w:b w:val="0"/>
          <w:bCs w:val="0"/>
          <w:kern w:val="0"/>
          <w:sz w:val="24"/>
          <w:szCs w:val="24"/>
          <w:highlight w:val="none"/>
        </w:rPr>
      </w:pPr>
      <w:r>
        <w:rPr>
          <w:rFonts w:ascii="宋体" w:eastAsia="宋体" w:cs="宋体"/>
          <w:b w:val="0"/>
          <w:bCs w:val="0"/>
          <w:kern w:val="0"/>
          <w:sz w:val="24"/>
          <w:szCs w:val="24"/>
          <w:highlight w:val="none"/>
        </w:rPr>
        <w:t>本公司违反上述</w:t>
      </w:r>
      <w:r>
        <w:rPr>
          <w:rFonts w:hint="eastAsia" w:ascii="宋体" w:eastAsia="宋体" w:cs="宋体"/>
          <w:b w:val="0"/>
          <w:bCs w:val="0"/>
          <w:kern w:val="0"/>
          <w:sz w:val="24"/>
          <w:szCs w:val="24"/>
          <w:highlight w:val="none"/>
        </w:rPr>
        <w:t>承诺</w:t>
      </w:r>
      <w:r>
        <w:rPr>
          <w:rFonts w:ascii="宋体" w:eastAsia="宋体" w:cs="宋体"/>
          <w:b w:val="0"/>
          <w:bCs w:val="0"/>
          <w:kern w:val="0"/>
          <w:sz w:val="24"/>
          <w:szCs w:val="24"/>
          <w:highlight w:val="none"/>
        </w:rPr>
        <w:t>，或本</w:t>
      </w:r>
      <w:r>
        <w:rPr>
          <w:rFonts w:hint="eastAsia" w:ascii="宋体" w:eastAsia="宋体" w:cs="宋体"/>
          <w:b w:val="0"/>
          <w:bCs w:val="0"/>
          <w:kern w:val="0"/>
          <w:sz w:val="24"/>
          <w:szCs w:val="24"/>
          <w:highlight w:val="none"/>
        </w:rPr>
        <w:t>承诺</w:t>
      </w:r>
      <w:r>
        <w:rPr>
          <w:rFonts w:ascii="宋体" w:eastAsia="宋体" w:cs="宋体"/>
          <w:b w:val="0"/>
          <w:bCs w:val="0"/>
          <w:kern w:val="0"/>
          <w:sz w:val="24"/>
          <w:szCs w:val="24"/>
          <w:highlight w:val="none"/>
        </w:rPr>
        <w:t>陈述与事实不符，一经查实将按相关规定进行信用记录。本公司对失信行为产生的一切后果已知悉。其中，本</w:t>
      </w:r>
      <w:r>
        <w:rPr>
          <w:rFonts w:hint="eastAsia" w:ascii="宋体" w:eastAsia="宋体" w:cs="宋体"/>
          <w:b w:val="0"/>
          <w:bCs w:val="0"/>
          <w:kern w:val="0"/>
          <w:sz w:val="24"/>
          <w:szCs w:val="24"/>
          <w:highlight w:val="none"/>
        </w:rPr>
        <w:t>承诺</w:t>
      </w:r>
      <w:r>
        <w:rPr>
          <w:rFonts w:ascii="宋体" w:eastAsia="宋体" w:cs="宋体"/>
          <w:b w:val="0"/>
          <w:bCs w:val="0"/>
          <w:kern w:val="0"/>
          <w:sz w:val="24"/>
          <w:szCs w:val="24"/>
          <w:highlight w:val="none"/>
        </w:rPr>
        <w:t>陈述与事实不符，属于弄虚作假骗取中标，将依法接受监管部门的处罚。</w:t>
      </w:r>
    </w:p>
    <w:p>
      <w:pPr>
        <w:pStyle w:val="2"/>
        <w:spacing w:line="360" w:lineRule="auto"/>
        <w:ind w:firstLine="720" w:firstLineChars="300"/>
        <w:rPr>
          <w:rFonts w:ascii="宋体" w:eastAsia="宋体" w:cs="宋体"/>
          <w:b w:val="0"/>
          <w:bCs w:val="0"/>
          <w:kern w:val="0"/>
          <w:sz w:val="24"/>
          <w:szCs w:val="24"/>
          <w:highlight w:val="none"/>
        </w:rPr>
      </w:pPr>
      <w:r>
        <w:rPr>
          <w:rFonts w:ascii="宋体" w:eastAsia="宋体" w:cs="宋体"/>
          <w:b w:val="0"/>
          <w:bCs w:val="0"/>
          <w:kern w:val="0"/>
          <w:sz w:val="24"/>
          <w:szCs w:val="24"/>
          <w:highlight w:val="none"/>
        </w:rPr>
        <w:t>特此</w:t>
      </w:r>
      <w:r>
        <w:rPr>
          <w:rFonts w:hint="eastAsia" w:ascii="宋体" w:eastAsia="宋体" w:cs="宋体"/>
          <w:b w:val="0"/>
          <w:bCs w:val="0"/>
          <w:kern w:val="0"/>
          <w:sz w:val="24"/>
          <w:szCs w:val="24"/>
          <w:highlight w:val="none"/>
        </w:rPr>
        <w:t>承诺</w:t>
      </w:r>
      <w:r>
        <w:rPr>
          <w:rFonts w:ascii="宋体" w:eastAsia="宋体" w:cs="宋体"/>
          <w:b w:val="0"/>
          <w:bCs w:val="0"/>
          <w:kern w:val="0"/>
          <w:sz w:val="24"/>
          <w:szCs w:val="24"/>
          <w:highlight w:val="none"/>
        </w:rPr>
        <w:t>。</w:t>
      </w:r>
    </w:p>
    <w:p>
      <w:pPr>
        <w:pStyle w:val="2"/>
        <w:wordWrap w:val="0"/>
        <w:spacing w:line="360" w:lineRule="auto"/>
        <w:ind w:firstLine="0"/>
        <w:jc w:val="right"/>
        <w:rPr>
          <w:rFonts w:ascii="宋体" w:eastAsia="宋体" w:cs="宋体"/>
          <w:b w:val="0"/>
          <w:bCs w:val="0"/>
          <w:kern w:val="0"/>
          <w:sz w:val="24"/>
          <w:szCs w:val="24"/>
          <w:highlight w:val="none"/>
        </w:rPr>
      </w:pPr>
      <w:r>
        <w:rPr>
          <w:rFonts w:hint="eastAsia" w:ascii="宋体" w:eastAsia="宋体" w:cs="宋体"/>
          <w:b w:val="0"/>
          <w:bCs w:val="0"/>
          <w:kern w:val="0"/>
          <w:sz w:val="24"/>
          <w:szCs w:val="24"/>
          <w:highlight w:val="none"/>
        </w:rPr>
        <w:t>承诺</w:t>
      </w:r>
      <w:r>
        <w:rPr>
          <w:rFonts w:ascii="宋体" w:eastAsia="宋体" w:cs="宋体"/>
          <w:b w:val="0"/>
          <w:bCs w:val="0"/>
          <w:kern w:val="0"/>
          <w:sz w:val="24"/>
          <w:szCs w:val="24"/>
          <w:highlight w:val="none"/>
        </w:rPr>
        <w:t>企业（企业公章）：</w:t>
      </w:r>
      <w:r>
        <w:rPr>
          <w:rFonts w:hint="eastAsia" w:ascii="宋体" w:eastAsia="宋体" w:cs="宋体"/>
          <w:b w:val="0"/>
          <w:bCs w:val="0"/>
          <w:kern w:val="0"/>
          <w:sz w:val="24"/>
          <w:szCs w:val="24"/>
          <w:highlight w:val="none"/>
        </w:rPr>
        <w:t xml:space="preserve">            </w:t>
      </w:r>
    </w:p>
    <w:p>
      <w:pPr>
        <w:pStyle w:val="2"/>
        <w:wordWrap w:val="0"/>
        <w:spacing w:line="360" w:lineRule="auto"/>
        <w:ind w:firstLine="0"/>
        <w:jc w:val="right"/>
        <w:rPr>
          <w:rFonts w:ascii="宋体" w:eastAsia="宋体" w:cs="宋体"/>
          <w:b w:val="0"/>
          <w:bCs w:val="0"/>
          <w:kern w:val="0"/>
          <w:sz w:val="24"/>
          <w:szCs w:val="24"/>
          <w:highlight w:val="none"/>
        </w:rPr>
      </w:pPr>
      <w:r>
        <w:rPr>
          <w:rFonts w:ascii="宋体" w:eastAsia="宋体" w:cs="宋体"/>
          <w:b w:val="0"/>
          <w:bCs w:val="0"/>
          <w:kern w:val="0"/>
          <w:sz w:val="24"/>
          <w:szCs w:val="24"/>
          <w:highlight w:val="none"/>
        </w:rPr>
        <w:t>法定代表人</w:t>
      </w:r>
      <w:r>
        <w:rPr>
          <w:rFonts w:hint="eastAsia" w:ascii="宋体" w:eastAsia="宋体" w:cs="宋体"/>
          <w:b w:val="0"/>
          <w:bCs w:val="0"/>
          <w:kern w:val="0"/>
          <w:sz w:val="24"/>
          <w:szCs w:val="24"/>
          <w:highlight w:val="none"/>
        </w:rPr>
        <w:t>（或委托代理人）</w:t>
      </w:r>
      <w:r>
        <w:rPr>
          <w:rFonts w:ascii="宋体" w:eastAsia="宋体" w:cs="宋体"/>
          <w:b w:val="0"/>
          <w:bCs w:val="0"/>
          <w:kern w:val="0"/>
          <w:sz w:val="24"/>
          <w:szCs w:val="24"/>
          <w:highlight w:val="none"/>
        </w:rPr>
        <w:t>签字</w:t>
      </w:r>
      <w:r>
        <w:rPr>
          <w:rFonts w:hint="eastAsia" w:ascii="宋体" w:eastAsia="宋体" w:cs="宋体"/>
          <w:b w:val="0"/>
          <w:bCs w:val="0"/>
          <w:kern w:val="0"/>
          <w:sz w:val="24"/>
          <w:szCs w:val="24"/>
          <w:highlight w:val="none"/>
        </w:rPr>
        <w:t>（或盖章）</w:t>
      </w:r>
      <w:r>
        <w:rPr>
          <w:rFonts w:ascii="宋体" w:eastAsia="宋体" w:cs="宋体"/>
          <w:b w:val="0"/>
          <w:bCs w:val="0"/>
          <w:kern w:val="0"/>
          <w:sz w:val="24"/>
          <w:szCs w:val="24"/>
          <w:highlight w:val="none"/>
        </w:rPr>
        <w:t>：</w:t>
      </w:r>
      <w:r>
        <w:rPr>
          <w:rFonts w:hint="eastAsia" w:ascii="宋体" w:eastAsia="宋体" w:cs="宋体"/>
          <w:b w:val="0"/>
          <w:bCs w:val="0"/>
          <w:kern w:val="0"/>
          <w:sz w:val="24"/>
          <w:szCs w:val="24"/>
          <w:highlight w:val="none"/>
        </w:rPr>
        <w:t xml:space="preserve">         </w:t>
      </w:r>
    </w:p>
    <w:p>
      <w:pPr>
        <w:pStyle w:val="2"/>
        <w:spacing w:line="360" w:lineRule="auto"/>
        <w:ind w:firstLine="0"/>
        <w:jc w:val="right"/>
        <w:rPr>
          <w:rFonts w:ascii="宋体" w:eastAsia="宋体" w:cs="宋体"/>
          <w:b w:val="0"/>
          <w:bCs w:val="0"/>
          <w:kern w:val="0"/>
          <w:sz w:val="24"/>
          <w:szCs w:val="24"/>
          <w:highlight w:val="none"/>
        </w:rPr>
      </w:pPr>
      <w:r>
        <w:rPr>
          <w:rFonts w:ascii="宋体" w:eastAsia="宋体" w:cs="宋体"/>
          <w:b w:val="0"/>
          <w:bCs w:val="0"/>
          <w:kern w:val="0"/>
          <w:sz w:val="24"/>
          <w:szCs w:val="24"/>
          <w:highlight w:val="none"/>
        </w:rPr>
        <w:t>年   月   日</w:t>
      </w:r>
    </w:p>
    <w:p>
      <w:pPr>
        <w:pStyle w:val="2"/>
        <w:spacing w:line="360" w:lineRule="auto"/>
        <w:ind w:firstLine="0"/>
        <w:jc w:val="right"/>
        <w:rPr>
          <w:rFonts w:ascii="宋体" w:eastAsia="宋体" w:cs="宋体"/>
          <w:b w:val="0"/>
          <w:bCs w:val="0"/>
          <w:kern w:val="0"/>
          <w:sz w:val="24"/>
          <w:szCs w:val="24"/>
          <w:highlight w:val="none"/>
        </w:rPr>
      </w:pPr>
    </w:p>
    <w:p>
      <w:pPr>
        <w:pStyle w:val="14"/>
        <w:numPr>
          <w:ilvl w:val="0"/>
          <w:numId w:val="6"/>
        </w:numPr>
        <w:rPr>
          <w:rFonts w:hAnsi="宋体" w:cs="宋体"/>
          <w:b/>
          <w:kern w:val="0"/>
          <w:sz w:val="32"/>
          <w:szCs w:val="32"/>
          <w:highlight w:val="none"/>
        </w:rPr>
        <w:sectPr>
          <w:pgSz w:w="11906" w:h="16838"/>
          <w:pgMar w:top="1474" w:right="1588" w:bottom="1440" w:left="1588" w:header="851" w:footer="992" w:gutter="0"/>
          <w:cols w:space="720" w:num="1"/>
          <w:docGrid w:type="lines" w:linePitch="312" w:charSpace="0"/>
        </w:sectPr>
      </w:pPr>
      <w:r>
        <w:rPr>
          <w:rFonts w:hint="eastAsia" w:hAnsi="宋体" w:cs="宋体"/>
          <w:b/>
          <w:kern w:val="0"/>
          <w:sz w:val="32"/>
          <w:szCs w:val="32"/>
          <w:highlight w:val="none"/>
        </w:rPr>
        <w:t>按招标公告“二、投标人资格要求”提供其他资料</w:t>
      </w:r>
    </w:p>
    <w:p>
      <w:pPr>
        <w:pStyle w:val="2"/>
        <w:spacing w:line="360" w:lineRule="auto"/>
        <w:ind w:firstLine="0"/>
        <w:rPr>
          <w:rFonts w:ascii="宋体" w:eastAsia="宋体" w:cs="宋体"/>
          <w:bCs w:val="0"/>
          <w:sz w:val="24"/>
          <w:szCs w:val="32"/>
          <w:highlight w:val="none"/>
        </w:rPr>
      </w:pPr>
    </w:p>
    <w:p>
      <w:pPr>
        <w:numPr>
          <w:ilvl w:val="0"/>
          <w:numId w:val="7"/>
        </w:numPr>
        <w:spacing w:line="360" w:lineRule="auto"/>
        <w:jc w:val="center"/>
        <w:outlineLvl w:val="2"/>
        <w:rPr>
          <w:rFonts w:ascii="宋体" w:hAnsi="宋体"/>
          <w:b/>
          <w:sz w:val="36"/>
          <w:highlight w:val="none"/>
        </w:rPr>
      </w:pPr>
      <w:r>
        <w:rPr>
          <w:rFonts w:hint="eastAsia" w:ascii="宋体" w:hAnsi="宋体"/>
          <w:b/>
          <w:sz w:val="36"/>
          <w:highlight w:val="none"/>
        </w:rPr>
        <w:t>商务技术文件</w:t>
      </w:r>
    </w:p>
    <w:bookmarkEnd w:id="137"/>
    <w:bookmarkEnd w:id="138"/>
    <w:bookmarkEnd w:id="139"/>
    <w:p>
      <w:pPr>
        <w:pStyle w:val="14"/>
        <w:numPr>
          <w:ilvl w:val="0"/>
          <w:numId w:val="6"/>
        </w:numPr>
        <w:rPr>
          <w:rFonts w:hAnsi="宋体"/>
          <w:b/>
          <w:sz w:val="32"/>
          <w:szCs w:val="40"/>
          <w:highlight w:val="none"/>
        </w:rPr>
      </w:pPr>
      <w:r>
        <w:rPr>
          <w:rFonts w:hint="eastAsia" w:hAnsi="宋体"/>
          <w:b/>
          <w:bCs/>
          <w:sz w:val="32"/>
          <w:szCs w:val="40"/>
          <w:highlight w:val="none"/>
        </w:rPr>
        <w:t>招标需求响应偏离表</w:t>
      </w:r>
    </w:p>
    <w:p>
      <w:pPr>
        <w:spacing w:line="360" w:lineRule="auto"/>
        <w:jc w:val="center"/>
        <w:rPr>
          <w:rFonts w:ascii="宋体" w:hAnsi="宋体"/>
          <w:b/>
          <w:bCs/>
          <w:sz w:val="24"/>
          <w:szCs w:val="32"/>
          <w:highlight w:val="none"/>
        </w:rPr>
      </w:pPr>
      <w:r>
        <w:rPr>
          <w:rFonts w:hint="eastAsia" w:ascii="宋体" w:hAnsi="宋体"/>
          <w:b/>
          <w:bCs/>
          <w:sz w:val="24"/>
          <w:szCs w:val="32"/>
          <w:highlight w:val="none"/>
        </w:rPr>
        <w:t>招标需求响应偏离表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7"/>
        <w:gridCol w:w="1319"/>
        <w:gridCol w:w="732"/>
        <w:gridCol w:w="2625"/>
        <w:gridCol w:w="2835"/>
        <w:gridCol w:w="1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367" w:type="dxa"/>
          </w:tcPr>
          <w:p>
            <w:pPr>
              <w:spacing w:line="360" w:lineRule="auto"/>
              <w:jc w:val="center"/>
              <w:rPr>
                <w:rFonts w:ascii="宋体" w:hAnsi="宋体"/>
                <w:highlight w:val="none"/>
              </w:rPr>
            </w:pPr>
            <w:r>
              <w:rPr>
                <w:rFonts w:hint="eastAsia" w:ascii="宋体" w:hAnsi="宋体"/>
                <w:highlight w:val="none"/>
              </w:rPr>
              <w:t>序号</w:t>
            </w:r>
          </w:p>
        </w:tc>
        <w:tc>
          <w:tcPr>
            <w:tcW w:w="1319" w:type="dxa"/>
            <w:vAlign w:val="center"/>
          </w:tcPr>
          <w:p>
            <w:pPr>
              <w:spacing w:line="360" w:lineRule="auto"/>
              <w:jc w:val="center"/>
              <w:rPr>
                <w:rFonts w:ascii="宋体" w:hAnsi="宋体"/>
                <w:highlight w:val="none"/>
              </w:rPr>
            </w:pPr>
            <w:r>
              <w:rPr>
                <w:rFonts w:hint="eastAsia" w:ascii="宋体" w:hAnsi="宋体"/>
                <w:highlight w:val="none"/>
              </w:rPr>
              <w:t>品目名称</w:t>
            </w:r>
          </w:p>
        </w:tc>
        <w:tc>
          <w:tcPr>
            <w:tcW w:w="732" w:type="dxa"/>
            <w:vAlign w:val="center"/>
          </w:tcPr>
          <w:p>
            <w:pPr>
              <w:spacing w:line="360" w:lineRule="auto"/>
              <w:jc w:val="center"/>
              <w:rPr>
                <w:rFonts w:ascii="宋体" w:hAnsi="宋体"/>
                <w:highlight w:val="none"/>
              </w:rPr>
            </w:pPr>
            <w:r>
              <w:rPr>
                <w:rFonts w:hint="eastAsia" w:ascii="宋体" w:hAnsi="宋体"/>
                <w:highlight w:val="none"/>
              </w:rPr>
              <w:t>内容</w:t>
            </w:r>
          </w:p>
        </w:tc>
        <w:tc>
          <w:tcPr>
            <w:tcW w:w="2625" w:type="dxa"/>
            <w:vAlign w:val="center"/>
          </w:tcPr>
          <w:p>
            <w:pPr>
              <w:spacing w:line="360" w:lineRule="auto"/>
              <w:jc w:val="center"/>
              <w:rPr>
                <w:rFonts w:ascii="宋体" w:hAnsi="宋体"/>
                <w:highlight w:val="none"/>
              </w:rPr>
            </w:pPr>
            <w:r>
              <w:rPr>
                <w:rFonts w:hint="eastAsia" w:ascii="宋体" w:hAnsi="宋体"/>
                <w:highlight w:val="none"/>
              </w:rPr>
              <w:t>招标文件需求内容</w:t>
            </w:r>
          </w:p>
        </w:tc>
        <w:tc>
          <w:tcPr>
            <w:tcW w:w="2835" w:type="dxa"/>
            <w:vAlign w:val="center"/>
          </w:tcPr>
          <w:p>
            <w:pPr>
              <w:spacing w:line="360" w:lineRule="auto"/>
              <w:jc w:val="center"/>
              <w:rPr>
                <w:rFonts w:ascii="宋体" w:hAnsi="宋体"/>
                <w:highlight w:val="none"/>
              </w:rPr>
            </w:pPr>
            <w:r>
              <w:rPr>
                <w:rFonts w:hint="eastAsia" w:ascii="宋体" w:hAnsi="宋体"/>
                <w:highlight w:val="none"/>
              </w:rPr>
              <w:t>投标文件投标内容</w:t>
            </w:r>
          </w:p>
        </w:tc>
        <w:tc>
          <w:tcPr>
            <w:tcW w:w="1068" w:type="dxa"/>
            <w:vAlign w:val="center"/>
          </w:tcPr>
          <w:p>
            <w:pPr>
              <w:spacing w:line="360" w:lineRule="auto"/>
              <w:jc w:val="center"/>
              <w:rPr>
                <w:rFonts w:ascii="宋体" w:hAnsi="宋体"/>
                <w:highlight w:val="none"/>
              </w:rPr>
            </w:pPr>
            <w:r>
              <w:rPr>
                <w:rFonts w:hint="eastAsia" w:ascii="宋体" w:hAnsi="宋体"/>
                <w:highlight w:val="none"/>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367" w:type="dxa"/>
          </w:tcPr>
          <w:p>
            <w:pPr>
              <w:spacing w:line="360" w:lineRule="auto"/>
              <w:rPr>
                <w:rFonts w:ascii="宋体" w:hAnsi="宋体"/>
                <w:highlight w:val="none"/>
              </w:rPr>
            </w:pPr>
          </w:p>
        </w:tc>
        <w:tc>
          <w:tcPr>
            <w:tcW w:w="1319" w:type="dxa"/>
          </w:tcPr>
          <w:p>
            <w:pPr>
              <w:spacing w:line="360" w:lineRule="auto"/>
              <w:rPr>
                <w:rFonts w:ascii="宋体" w:hAnsi="宋体"/>
                <w:highlight w:val="none"/>
              </w:rPr>
            </w:pPr>
          </w:p>
        </w:tc>
        <w:tc>
          <w:tcPr>
            <w:tcW w:w="732" w:type="dxa"/>
          </w:tcPr>
          <w:p>
            <w:pPr>
              <w:spacing w:line="360" w:lineRule="auto"/>
              <w:rPr>
                <w:rFonts w:ascii="宋体" w:hAnsi="宋体"/>
                <w:highlight w:val="none"/>
              </w:rPr>
            </w:pPr>
          </w:p>
        </w:tc>
        <w:tc>
          <w:tcPr>
            <w:tcW w:w="2625" w:type="dxa"/>
          </w:tcPr>
          <w:p>
            <w:pPr>
              <w:spacing w:line="360" w:lineRule="auto"/>
              <w:rPr>
                <w:rFonts w:ascii="宋体" w:hAnsi="宋体"/>
                <w:highlight w:val="none"/>
              </w:rPr>
            </w:pPr>
          </w:p>
        </w:tc>
        <w:tc>
          <w:tcPr>
            <w:tcW w:w="2835" w:type="dxa"/>
          </w:tcPr>
          <w:p>
            <w:pPr>
              <w:spacing w:line="360" w:lineRule="auto"/>
              <w:rPr>
                <w:rFonts w:ascii="宋体" w:hAnsi="宋体"/>
                <w:highlight w:val="none"/>
              </w:rPr>
            </w:pPr>
          </w:p>
        </w:tc>
        <w:tc>
          <w:tcPr>
            <w:tcW w:w="1068" w:type="dxa"/>
          </w:tcPr>
          <w:p>
            <w:pPr>
              <w:spacing w:line="360" w:lineRule="auto"/>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367" w:type="dxa"/>
          </w:tcPr>
          <w:p>
            <w:pPr>
              <w:spacing w:line="360" w:lineRule="auto"/>
              <w:rPr>
                <w:rFonts w:ascii="宋体" w:hAnsi="宋体"/>
                <w:highlight w:val="none"/>
              </w:rPr>
            </w:pPr>
          </w:p>
        </w:tc>
        <w:tc>
          <w:tcPr>
            <w:tcW w:w="1319" w:type="dxa"/>
          </w:tcPr>
          <w:p>
            <w:pPr>
              <w:spacing w:line="360" w:lineRule="auto"/>
              <w:rPr>
                <w:rFonts w:ascii="宋体" w:hAnsi="宋体"/>
                <w:highlight w:val="none"/>
              </w:rPr>
            </w:pPr>
          </w:p>
        </w:tc>
        <w:tc>
          <w:tcPr>
            <w:tcW w:w="732" w:type="dxa"/>
          </w:tcPr>
          <w:p>
            <w:pPr>
              <w:spacing w:line="360" w:lineRule="auto"/>
              <w:rPr>
                <w:rFonts w:ascii="宋体" w:hAnsi="宋体"/>
                <w:highlight w:val="none"/>
              </w:rPr>
            </w:pPr>
          </w:p>
        </w:tc>
        <w:tc>
          <w:tcPr>
            <w:tcW w:w="2625" w:type="dxa"/>
          </w:tcPr>
          <w:p>
            <w:pPr>
              <w:spacing w:line="360" w:lineRule="auto"/>
              <w:rPr>
                <w:rFonts w:ascii="宋体" w:hAnsi="宋体"/>
                <w:highlight w:val="none"/>
              </w:rPr>
            </w:pPr>
          </w:p>
        </w:tc>
        <w:tc>
          <w:tcPr>
            <w:tcW w:w="2835" w:type="dxa"/>
          </w:tcPr>
          <w:p>
            <w:pPr>
              <w:spacing w:line="360" w:lineRule="auto"/>
              <w:rPr>
                <w:rFonts w:ascii="宋体" w:hAnsi="宋体"/>
                <w:highlight w:val="none"/>
              </w:rPr>
            </w:pPr>
          </w:p>
        </w:tc>
        <w:tc>
          <w:tcPr>
            <w:tcW w:w="1068" w:type="dxa"/>
          </w:tcPr>
          <w:p>
            <w:pPr>
              <w:spacing w:line="360" w:lineRule="auto"/>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367" w:type="dxa"/>
          </w:tcPr>
          <w:p>
            <w:pPr>
              <w:spacing w:line="360" w:lineRule="auto"/>
              <w:rPr>
                <w:rFonts w:ascii="宋体" w:hAnsi="宋体"/>
                <w:highlight w:val="none"/>
              </w:rPr>
            </w:pPr>
          </w:p>
        </w:tc>
        <w:tc>
          <w:tcPr>
            <w:tcW w:w="1319" w:type="dxa"/>
          </w:tcPr>
          <w:p>
            <w:pPr>
              <w:spacing w:line="360" w:lineRule="auto"/>
              <w:rPr>
                <w:rFonts w:ascii="宋体" w:hAnsi="宋体"/>
                <w:highlight w:val="none"/>
              </w:rPr>
            </w:pPr>
          </w:p>
        </w:tc>
        <w:tc>
          <w:tcPr>
            <w:tcW w:w="732" w:type="dxa"/>
          </w:tcPr>
          <w:p>
            <w:pPr>
              <w:spacing w:line="360" w:lineRule="auto"/>
              <w:rPr>
                <w:rFonts w:ascii="宋体" w:hAnsi="宋体"/>
                <w:highlight w:val="none"/>
              </w:rPr>
            </w:pPr>
          </w:p>
        </w:tc>
        <w:tc>
          <w:tcPr>
            <w:tcW w:w="2625" w:type="dxa"/>
          </w:tcPr>
          <w:p>
            <w:pPr>
              <w:spacing w:line="360" w:lineRule="auto"/>
              <w:rPr>
                <w:rFonts w:ascii="宋体" w:hAnsi="宋体"/>
                <w:highlight w:val="none"/>
              </w:rPr>
            </w:pPr>
          </w:p>
        </w:tc>
        <w:tc>
          <w:tcPr>
            <w:tcW w:w="2835" w:type="dxa"/>
          </w:tcPr>
          <w:p>
            <w:pPr>
              <w:spacing w:line="360" w:lineRule="auto"/>
              <w:rPr>
                <w:rFonts w:ascii="宋体" w:hAnsi="宋体"/>
                <w:highlight w:val="none"/>
              </w:rPr>
            </w:pPr>
          </w:p>
        </w:tc>
        <w:tc>
          <w:tcPr>
            <w:tcW w:w="1068" w:type="dxa"/>
          </w:tcPr>
          <w:p>
            <w:pPr>
              <w:spacing w:line="360" w:lineRule="auto"/>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367" w:type="dxa"/>
          </w:tcPr>
          <w:p>
            <w:pPr>
              <w:spacing w:line="360" w:lineRule="auto"/>
              <w:rPr>
                <w:rFonts w:ascii="宋体" w:hAnsi="宋体"/>
                <w:highlight w:val="none"/>
              </w:rPr>
            </w:pPr>
          </w:p>
        </w:tc>
        <w:tc>
          <w:tcPr>
            <w:tcW w:w="1319" w:type="dxa"/>
          </w:tcPr>
          <w:p>
            <w:pPr>
              <w:spacing w:line="360" w:lineRule="auto"/>
              <w:rPr>
                <w:rFonts w:ascii="宋体" w:hAnsi="宋体"/>
                <w:highlight w:val="none"/>
              </w:rPr>
            </w:pPr>
          </w:p>
        </w:tc>
        <w:tc>
          <w:tcPr>
            <w:tcW w:w="732" w:type="dxa"/>
          </w:tcPr>
          <w:p>
            <w:pPr>
              <w:spacing w:line="360" w:lineRule="auto"/>
              <w:rPr>
                <w:rFonts w:ascii="宋体" w:hAnsi="宋体"/>
                <w:highlight w:val="none"/>
              </w:rPr>
            </w:pPr>
          </w:p>
        </w:tc>
        <w:tc>
          <w:tcPr>
            <w:tcW w:w="2625" w:type="dxa"/>
          </w:tcPr>
          <w:p>
            <w:pPr>
              <w:spacing w:line="360" w:lineRule="auto"/>
              <w:rPr>
                <w:rFonts w:ascii="宋体" w:hAnsi="宋体"/>
                <w:highlight w:val="none"/>
              </w:rPr>
            </w:pPr>
          </w:p>
        </w:tc>
        <w:tc>
          <w:tcPr>
            <w:tcW w:w="2835" w:type="dxa"/>
          </w:tcPr>
          <w:p>
            <w:pPr>
              <w:spacing w:line="360" w:lineRule="auto"/>
              <w:rPr>
                <w:rFonts w:ascii="宋体" w:hAnsi="宋体"/>
                <w:highlight w:val="none"/>
              </w:rPr>
            </w:pPr>
          </w:p>
        </w:tc>
        <w:tc>
          <w:tcPr>
            <w:tcW w:w="1068" w:type="dxa"/>
          </w:tcPr>
          <w:p>
            <w:pPr>
              <w:spacing w:line="360" w:lineRule="auto"/>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367" w:type="dxa"/>
          </w:tcPr>
          <w:p>
            <w:pPr>
              <w:spacing w:line="360" w:lineRule="auto"/>
              <w:rPr>
                <w:rFonts w:ascii="宋体" w:hAnsi="宋体"/>
                <w:highlight w:val="none"/>
              </w:rPr>
            </w:pPr>
          </w:p>
        </w:tc>
        <w:tc>
          <w:tcPr>
            <w:tcW w:w="1319" w:type="dxa"/>
          </w:tcPr>
          <w:p>
            <w:pPr>
              <w:spacing w:line="360" w:lineRule="auto"/>
              <w:rPr>
                <w:rFonts w:ascii="宋体" w:hAnsi="宋体"/>
                <w:highlight w:val="none"/>
              </w:rPr>
            </w:pPr>
          </w:p>
        </w:tc>
        <w:tc>
          <w:tcPr>
            <w:tcW w:w="732" w:type="dxa"/>
          </w:tcPr>
          <w:p>
            <w:pPr>
              <w:spacing w:line="360" w:lineRule="auto"/>
              <w:rPr>
                <w:rFonts w:ascii="宋体" w:hAnsi="宋体"/>
                <w:highlight w:val="none"/>
              </w:rPr>
            </w:pPr>
          </w:p>
        </w:tc>
        <w:tc>
          <w:tcPr>
            <w:tcW w:w="2625" w:type="dxa"/>
          </w:tcPr>
          <w:p>
            <w:pPr>
              <w:spacing w:line="360" w:lineRule="auto"/>
              <w:rPr>
                <w:rFonts w:ascii="宋体" w:hAnsi="宋体"/>
                <w:highlight w:val="none"/>
              </w:rPr>
            </w:pPr>
          </w:p>
        </w:tc>
        <w:tc>
          <w:tcPr>
            <w:tcW w:w="2835" w:type="dxa"/>
          </w:tcPr>
          <w:p>
            <w:pPr>
              <w:spacing w:line="360" w:lineRule="auto"/>
              <w:rPr>
                <w:rFonts w:ascii="宋体" w:hAnsi="宋体"/>
                <w:highlight w:val="none"/>
              </w:rPr>
            </w:pPr>
          </w:p>
        </w:tc>
        <w:tc>
          <w:tcPr>
            <w:tcW w:w="1068" w:type="dxa"/>
          </w:tcPr>
          <w:p>
            <w:pPr>
              <w:spacing w:line="360" w:lineRule="auto"/>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367" w:type="dxa"/>
          </w:tcPr>
          <w:p>
            <w:pPr>
              <w:spacing w:line="360" w:lineRule="auto"/>
              <w:rPr>
                <w:rFonts w:ascii="宋体" w:hAnsi="宋体"/>
                <w:highlight w:val="none"/>
              </w:rPr>
            </w:pPr>
          </w:p>
        </w:tc>
        <w:tc>
          <w:tcPr>
            <w:tcW w:w="1319" w:type="dxa"/>
          </w:tcPr>
          <w:p>
            <w:pPr>
              <w:spacing w:line="360" w:lineRule="auto"/>
              <w:rPr>
                <w:rFonts w:ascii="宋体" w:hAnsi="宋体"/>
                <w:highlight w:val="none"/>
              </w:rPr>
            </w:pPr>
          </w:p>
        </w:tc>
        <w:tc>
          <w:tcPr>
            <w:tcW w:w="732" w:type="dxa"/>
          </w:tcPr>
          <w:p>
            <w:pPr>
              <w:spacing w:line="360" w:lineRule="auto"/>
              <w:rPr>
                <w:rFonts w:ascii="宋体" w:hAnsi="宋体"/>
                <w:highlight w:val="none"/>
              </w:rPr>
            </w:pPr>
          </w:p>
        </w:tc>
        <w:tc>
          <w:tcPr>
            <w:tcW w:w="2625" w:type="dxa"/>
          </w:tcPr>
          <w:p>
            <w:pPr>
              <w:spacing w:line="360" w:lineRule="auto"/>
              <w:rPr>
                <w:rFonts w:ascii="宋体" w:hAnsi="宋体"/>
                <w:highlight w:val="none"/>
              </w:rPr>
            </w:pPr>
          </w:p>
        </w:tc>
        <w:tc>
          <w:tcPr>
            <w:tcW w:w="2835" w:type="dxa"/>
          </w:tcPr>
          <w:p>
            <w:pPr>
              <w:spacing w:line="360" w:lineRule="auto"/>
              <w:rPr>
                <w:rFonts w:ascii="宋体" w:hAnsi="宋体"/>
                <w:highlight w:val="none"/>
              </w:rPr>
            </w:pPr>
          </w:p>
        </w:tc>
        <w:tc>
          <w:tcPr>
            <w:tcW w:w="1068" w:type="dxa"/>
          </w:tcPr>
          <w:p>
            <w:pPr>
              <w:spacing w:line="360" w:lineRule="auto"/>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67" w:type="dxa"/>
          </w:tcPr>
          <w:p>
            <w:pPr>
              <w:spacing w:line="360" w:lineRule="auto"/>
              <w:rPr>
                <w:rFonts w:ascii="宋体" w:hAnsi="宋体"/>
                <w:highlight w:val="none"/>
              </w:rPr>
            </w:pPr>
          </w:p>
        </w:tc>
        <w:tc>
          <w:tcPr>
            <w:tcW w:w="1319" w:type="dxa"/>
          </w:tcPr>
          <w:p>
            <w:pPr>
              <w:spacing w:line="360" w:lineRule="auto"/>
              <w:rPr>
                <w:rFonts w:ascii="宋体" w:hAnsi="宋体"/>
                <w:highlight w:val="none"/>
              </w:rPr>
            </w:pPr>
          </w:p>
        </w:tc>
        <w:tc>
          <w:tcPr>
            <w:tcW w:w="732" w:type="dxa"/>
          </w:tcPr>
          <w:p>
            <w:pPr>
              <w:spacing w:line="360" w:lineRule="auto"/>
              <w:rPr>
                <w:rFonts w:ascii="宋体" w:hAnsi="宋体"/>
                <w:highlight w:val="none"/>
              </w:rPr>
            </w:pPr>
          </w:p>
        </w:tc>
        <w:tc>
          <w:tcPr>
            <w:tcW w:w="2625" w:type="dxa"/>
          </w:tcPr>
          <w:p>
            <w:pPr>
              <w:spacing w:line="360" w:lineRule="auto"/>
              <w:rPr>
                <w:rFonts w:ascii="宋体" w:hAnsi="宋体"/>
                <w:highlight w:val="none"/>
              </w:rPr>
            </w:pPr>
          </w:p>
        </w:tc>
        <w:tc>
          <w:tcPr>
            <w:tcW w:w="2835" w:type="dxa"/>
          </w:tcPr>
          <w:p>
            <w:pPr>
              <w:spacing w:line="360" w:lineRule="auto"/>
              <w:rPr>
                <w:rFonts w:ascii="宋体" w:hAnsi="宋体"/>
                <w:highlight w:val="none"/>
              </w:rPr>
            </w:pPr>
          </w:p>
        </w:tc>
        <w:tc>
          <w:tcPr>
            <w:tcW w:w="1068" w:type="dxa"/>
          </w:tcPr>
          <w:p>
            <w:pPr>
              <w:spacing w:line="360" w:lineRule="auto"/>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8" w:hRule="atLeast"/>
        </w:trPr>
        <w:tc>
          <w:tcPr>
            <w:tcW w:w="367" w:type="dxa"/>
          </w:tcPr>
          <w:p>
            <w:pPr>
              <w:spacing w:line="360" w:lineRule="auto"/>
              <w:rPr>
                <w:rFonts w:ascii="宋体" w:hAnsi="宋体"/>
                <w:highlight w:val="none"/>
              </w:rPr>
            </w:pPr>
          </w:p>
        </w:tc>
        <w:tc>
          <w:tcPr>
            <w:tcW w:w="1319" w:type="dxa"/>
          </w:tcPr>
          <w:p>
            <w:pPr>
              <w:spacing w:line="360" w:lineRule="auto"/>
              <w:rPr>
                <w:rFonts w:ascii="宋体" w:hAnsi="宋体"/>
                <w:highlight w:val="none"/>
              </w:rPr>
            </w:pPr>
          </w:p>
        </w:tc>
        <w:tc>
          <w:tcPr>
            <w:tcW w:w="732" w:type="dxa"/>
          </w:tcPr>
          <w:p>
            <w:pPr>
              <w:spacing w:line="360" w:lineRule="auto"/>
              <w:rPr>
                <w:rFonts w:ascii="宋体" w:hAnsi="宋体"/>
                <w:highlight w:val="none"/>
              </w:rPr>
            </w:pPr>
          </w:p>
        </w:tc>
        <w:tc>
          <w:tcPr>
            <w:tcW w:w="2625" w:type="dxa"/>
          </w:tcPr>
          <w:p>
            <w:pPr>
              <w:spacing w:line="360" w:lineRule="auto"/>
              <w:rPr>
                <w:rFonts w:ascii="宋体" w:hAnsi="宋体"/>
                <w:highlight w:val="none"/>
              </w:rPr>
            </w:pPr>
          </w:p>
        </w:tc>
        <w:tc>
          <w:tcPr>
            <w:tcW w:w="2835" w:type="dxa"/>
          </w:tcPr>
          <w:p>
            <w:pPr>
              <w:spacing w:line="360" w:lineRule="auto"/>
              <w:rPr>
                <w:rFonts w:ascii="宋体" w:hAnsi="宋体"/>
                <w:highlight w:val="none"/>
              </w:rPr>
            </w:pPr>
          </w:p>
        </w:tc>
        <w:tc>
          <w:tcPr>
            <w:tcW w:w="1068" w:type="dxa"/>
          </w:tcPr>
          <w:p>
            <w:pPr>
              <w:spacing w:line="360" w:lineRule="auto"/>
              <w:rPr>
                <w:rFonts w:ascii="宋体" w:hAnsi="宋体"/>
                <w:highlight w:val="none"/>
              </w:rPr>
            </w:pPr>
          </w:p>
        </w:tc>
      </w:tr>
    </w:tbl>
    <w:p>
      <w:pPr>
        <w:spacing w:line="360" w:lineRule="auto"/>
        <w:rPr>
          <w:rFonts w:ascii="宋体" w:hAnsi="宋体"/>
          <w:highlight w:val="none"/>
        </w:rPr>
      </w:pPr>
      <w:r>
        <w:rPr>
          <w:rFonts w:ascii="宋体" w:hAnsi="宋体"/>
          <w:highlight w:val="none"/>
        </w:rPr>
        <w:t xml:space="preserve">   </w:t>
      </w:r>
      <w:r>
        <w:rPr>
          <w:rFonts w:hint="eastAsia" w:ascii="宋体" w:hAnsi="宋体"/>
          <w:highlight w:val="none"/>
        </w:rPr>
        <w:t xml:space="preserve"> 注：1. 如无偏离，无需填写。</w:t>
      </w:r>
    </w:p>
    <w:p>
      <w:pPr>
        <w:spacing w:line="360" w:lineRule="auto"/>
        <w:rPr>
          <w:rFonts w:ascii="宋体" w:hAnsi="宋体"/>
          <w:highlight w:val="none"/>
        </w:rPr>
      </w:pPr>
    </w:p>
    <w:p>
      <w:pPr>
        <w:spacing w:line="360" w:lineRule="auto"/>
        <w:rPr>
          <w:rFonts w:ascii="宋体" w:hAnsi="宋体"/>
          <w:highlight w:val="none"/>
          <w:u w:val="single"/>
        </w:rPr>
      </w:pPr>
      <w:r>
        <w:rPr>
          <w:rFonts w:hint="eastAsia" w:ascii="宋体" w:hAnsi="宋体"/>
          <w:highlight w:val="none"/>
        </w:rPr>
        <w:t>投标人（盖章）：</w:t>
      </w:r>
      <w:r>
        <w:rPr>
          <w:rFonts w:ascii="宋体" w:hAnsi="宋体"/>
          <w:highlight w:val="none"/>
          <w:u w:val="single"/>
        </w:rPr>
        <w:t xml:space="preserve">                                     </w:t>
      </w:r>
    </w:p>
    <w:p>
      <w:pPr>
        <w:spacing w:line="360" w:lineRule="auto"/>
        <w:rPr>
          <w:rFonts w:ascii="宋体" w:hAnsi="宋体"/>
          <w:highlight w:val="none"/>
          <w:u w:val="single"/>
        </w:rPr>
      </w:pPr>
      <w:r>
        <w:rPr>
          <w:rFonts w:hint="eastAsia" w:ascii="宋体" w:hAnsi="宋体"/>
          <w:highlight w:val="none"/>
        </w:rPr>
        <w:t>法定人代表人或委托代理人（签字或</w:t>
      </w:r>
      <w:r>
        <w:rPr>
          <w:rFonts w:ascii="宋体" w:hAnsi="宋体"/>
          <w:highlight w:val="none"/>
        </w:rPr>
        <w:t>盖章</w:t>
      </w:r>
      <w:r>
        <w:rPr>
          <w:rFonts w:hint="eastAsia" w:ascii="宋体" w:hAnsi="宋体"/>
          <w:highlight w:val="none"/>
        </w:rPr>
        <w:t>）：</w:t>
      </w:r>
      <w:r>
        <w:rPr>
          <w:rFonts w:ascii="宋体" w:hAnsi="宋体"/>
          <w:highlight w:val="none"/>
          <w:u w:val="single"/>
        </w:rPr>
        <w:t xml:space="preserve">                     </w:t>
      </w:r>
    </w:p>
    <w:p>
      <w:pPr>
        <w:spacing w:line="360" w:lineRule="auto"/>
        <w:rPr>
          <w:rFonts w:ascii="宋体" w:hAnsi="宋体"/>
          <w:highlight w:val="none"/>
        </w:rPr>
      </w:pPr>
      <w:r>
        <w:rPr>
          <w:rFonts w:hint="eastAsia" w:ascii="宋体" w:hAnsi="宋体"/>
          <w:highlight w:val="none"/>
        </w:rPr>
        <w:t>日期：</w:t>
      </w:r>
      <w:r>
        <w:rPr>
          <w:rFonts w:ascii="宋体" w:hAnsi="宋体"/>
          <w:highlight w:val="none"/>
        </w:rPr>
        <w:t xml:space="preserve">     </w:t>
      </w:r>
      <w:r>
        <w:rPr>
          <w:rFonts w:hint="eastAsia" w:ascii="宋体" w:hAnsi="宋体"/>
          <w:highlight w:val="none"/>
        </w:rPr>
        <w:t>年</w:t>
      </w:r>
      <w:r>
        <w:rPr>
          <w:rFonts w:ascii="宋体" w:hAnsi="宋体"/>
          <w:highlight w:val="none"/>
        </w:rPr>
        <w:t xml:space="preserve">   </w:t>
      </w:r>
      <w:r>
        <w:rPr>
          <w:rFonts w:hint="eastAsia" w:ascii="宋体" w:hAnsi="宋体"/>
          <w:highlight w:val="none"/>
        </w:rPr>
        <w:t>月</w:t>
      </w:r>
      <w:r>
        <w:rPr>
          <w:rFonts w:ascii="宋体" w:hAnsi="宋体"/>
          <w:highlight w:val="none"/>
        </w:rPr>
        <w:t xml:space="preserve">  </w:t>
      </w:r>
      <w:r>
        <w:rPr>
          <w:rFonts w:hint="eastAsia" w:ascii="宋体" w:hAnsi="宋体"/>
          <w:highlight w:val="none"/>
        </w:rPr>
        <w:t>日</w:t>
      </w:r>
    </w:p>
    <w:p>
      <w:pPr>
        <w:pStyle w:val="10"/>
        <w:spacing w:line="360" w:lineRule="auto"/>
        <w:rPr>
          <w:rFonts w:ascii="宋体" w:hAnsi="宋体"/>
          <w:highlight w:val="none"/>
        </w:rPr>
      </w:pPr>
    </w:p>
    <w:p>
      <w:pPr>
        <w:pStyle w:val="10"/>
        <w:spacing w:line="360" w:lineRule="auto"/>
        <w:rPr>
          <w:rFonts w:ascii="宋体" w:hAnsi="宋体"/>
          <w:highlight w:val="none"/>
        </w:rPr>
      </w:pPr>
    </w:p>
    <w:p>
      <w:pPr>
        <w:pStyle w:val="10"/>
        <w:spacing w:line="360" w:lineRule="auto"/>
        <w:rPr>
          <w:rFonts w:ascii="宋体" w:hAnsi="宋体"/>
          <w:highlight w:val="none"/>
        </w:rPr>
      </w:pPr>
    </w:p>
    <w:p>
      <w:pPr>
        <w:pStyle w:val="10"/>
        <w:spacing w:line="360" w:lineRule="auto"/>
        <w:rPr>
          <w:rFonts w:ascii="宋体" w:hAnsi="宋体"/>
          <w:highlight w:val="none"/>
        </w:rPr>
      </w:pPr>
    </w:p>
    <w:p>
      <w:pPr>
        <w:pStyle w:val="10"/>
        <w:spacing w:line="360" w:lineRule="auto"/>
        <w:rPr>
          <w:rFonts w:ascii="宋体" w:hAnsi="宋体"/>
          <w:highlight w:val="none"/>
        </w:rPr>
      </w:pPr>
    </w:p>
    <w:p>
      <w:pPr>
        <w:pStyle w:val="10"/>
        <w:spacing w:line="360" w:lineRule="auto"/>
        <w:rPr>
          <w:rFonts w:ascii="宋体" w:hAnsi="宋体"/>
          <w:highlight w:val="none"/>
        </w:rPr>
      </w:pPr>
    </w:p>
    <w:p>
      <w:pPr>
        <w:pStyle w:val="10"/>
        <w:spacing w:line="360" w:lineRule="auto"/>
        <w:rPr>
          <w:rFonts w:ascii="宋体" w:hAnsi="宋体"/>
          <w:highlight w:val="none"/>
        </w:rPr>
      </w:pPr>
    </w:p>
    <w:p>
      <w:pPr>
        <w:pStyle w:val="14"/>
        <w:numPr>
          <w:ilvl w:val="0"/>
          <w:numId w:val="6"/>
        </w:numPr>
        <w:rPr>
          <w:rFonts w:hAnsi="宋体"/>
          <w:b/>
          <w:sz w:val="32"/>
          <w:szCs w:val="40"/>
          <w:highlight w:val="none"/>
        </w:rPr>
      </w:pPr>
      <w:bookmarkStart w:id="141" w:name="_Toc447001746"/>
      <w:r>
        <w:rPr>
          <w:rFonts w:hint="eastAsia" w:hAnsi="宋体"/>
          <w:b/>
          <w:bCs/>
          <w:sz w:val="32"/>
          <w:szCs w:val="40"/>
          <w:highlight w:val="none"/>
        </w:rPr>
        <w:t>已标识主要技术要求响应表</w:t>
      </w:r>
    </w:p>
    <w:p>
      <w:pPr>
        <w:spacing w:line="360" w:lineRule="auto"/>
        <w:jc w:val="center"/>
        <w:rPr>
          <w:rFonts w:ascii="宋体" w:hAnsi="宋体"/>
          <w:b/>
          <w:bCs/>
          <w:sz w:val="24"/>
          <w:szCs w:val="32"/>
          <w:highlight w:val="none"/>
        </w:rPr>
      </w:pPr>
      <w:r>
        <w:rPr>
          <w:rFonts w:hint="eastAsia" w:ascii="宋体" w:hAnsi="宋体"/>
          <w:b/>
          <w:bCs/>
          <w:sz w:val="24"/>
          <w:szCs w:val="32"/>
          <w:highlight w:val="none"/>
        </w:rPr>
        <w:t>已标识主要技术要求响应表</w:t>
      </w:r>
    </w:p>
    <w:tbl>
      <w:tblPr>
        <w:tblStyle w:val="26"/>
        <w:tblW w:w="9364" w:type="dxa"/>
        <w:tblInd w:w="-2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519"/>
        <w:gridCol w:w="843"/>
        <w:gridCol w:w="3023"/>
        <w:gridCol w:w="3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715" w:type="dxa"/>
            <w:vAlign w:val="center"/>
          </w:tcPr>
          <w:p>
            <w:pPr>
              <w:spacing w:line="360" w:lineRule="auto"/>
              <w:jc w:val="center"/>
              <w:rPr>
                <w:rFonts w:ascii="宋体" w:hAnsi="宋体"/>
                <w:highlight w:val="none"/>
              </w:rPr>
            </w:pPr>
            <w:r>
              <w:rPr>
                <w:rFonts w:hint="eastAsia" w:ascii="宋体" w:hAnsi="宋体"/>
                <w:highlight w:val="none"/>
              </w:rPr>
              <w:t>序号</w:t>
            </w:r>
          </w:p>
        </w:tc>
        <w:tc>
          <w:tcPr>
            <w:tcW w:w="1519" w:type="dxa"/>
            <w:vAlign w:val="center"/>
          </w:tcPr>
          <w:p>
            <w:pPr>
              <w:spacing w:line="360" w:lineRule="auto"/>
              <w:jc w:val="center"/>
              <w:rPr>
                <w:rFonts w:ascii="宋体" w:hAnsi="宋体"/>
                <w:highlight w:val="none"/>
              </w:rPr>
            </w:pPr>
            <w:r>
              <w:rPr>
                <w:rFonts w:hint="eastAsia" w:ascii="宋体" w:hAnsi="宋体"/>
                <w:highlight w:val="none"/>
              </w:rPr>
              <w:t>品目名称</w:t>
            </w:r>
          </w:p>
        </w:tc>
        <w:tc>
          <w:tcPr>
            <w:tcW w:w="843" w:type="dxa"/>
            <w:vAlign w:val="center"/>
          </w:tcPr>
          <w:p>
            <w:pPr>
              <w:spacing w:line="360" w:lineRule="auto"/>
              <w:jc w:val="center"/>
              <w:rPr>
                <w:rFonts w:ascii="宋体" w:hAnsi="宋体"/>
                <w:highlight w:val="none"/>
              </w:rPr>
            </w:pPr>
            <w:r>
              <w:rPr>
                <w:rFonts w:hint="eastAsia" w:ascii="宋体" w:hAnsi="宋体"/>
                <w:highlight w:val="none"/>
              </w:rPr>
              <w:t>内容</w:t>
            </w:r>
          </w:p>
        </w:tc>
        <w:tc>
          <w:tcPr>
            <w:tcW w:w="3023" w:type="dxa"/>
            <w:vAlign w:val="center"/>
          </w:tcPr>
          <w:p>
            <w:pPr>
              <w:spacing w:line="360" w:lineRule="auto"/>
              <w:jc w:val="center"/>
              <w:rPr>
                <w:highlight w:val="none"/>
              </w:rPr>
            </w:pPr>
            <w:r>
              <w:rPr>
                <w:rFonts w:hint="eastAsia"/>
                <w:highlight w:val="none"/>
              </w:rPr>
              <w:t>已标识主要技术要求</w:t>
            </w:r>
          </w:p>
          <w:p>
            <w:pPr>
              <w:pStyle w:val="14"/>
              <w:jc w:val="center"/>
              <w:rPr>
                <w:highlight w:val="none"/>
              </w:rPr>
            </w:pPr>
            <w:r>
              <w:rPr>
                <w:rFonts w:hint="eastAsia" w:hAnsi="宋体" w:cs="宋体"/>
                <w:color w:val="000000"/>
                <w:kern w:val="0"/>
                <w:szCs w:val="21"/>
                <w:highlight w:val="none"/>
                <w:lang w:bidi="ar"/>
              </w:rPr>
              <w:t>（已标▲符号）</w:t>
            </w:r>
          </w:p>
        </w:tc>
        <w:tc>
          <w:tcPr>
            <w:tcW w:w="3264" w:type="dxa"/>
            <w:vAlign w:val="center"/>
          </w:tcPr>
          <w:p>
            <w:pPr>
              <w:spacing w:line="360" w:lineRule="auto"/>
              <w:jc w:val="center"/>
              <w:rPr>
                <w:rFonts w:ascii="宋体" w:hAnsi="宋体"/>
                <w:highlight w:val="none"/>
              </w:rPr>
            </w:pPr>
            <w:r>
              <w:rPr>
                <w:rFonts w:hint="eastAsia" w:ascii="宋体" w:hAnsi="宋体"/>
                <w:highlight w:val="none"/>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715" w:type="dxa"/>
          </w:tcPr>
          <w:p>
            <w:pPr>
              <w:spacing w:line="360" w:lineRule="auto"/>
              <w:rPr>
                <w:rFonts w:ascii="宋体" w:hAnsi="宋体"/>
                <w:highlight w:val="none"/>
              </w:rPr>
            </w:pPr>
          </w:p>
        </w:tc>
        <w:tc>
          <w:tcPr>
            <w:tcW w:w="1519" w:type="dxa"/>
          </w:tcPr>
          <w:p>
            <w:pPr>
              <w:spacing w:line="360" w:lineRule="auto"/>
              <w:rPr>
                <w:rFonts w:ascii="宋体" w:hAnsi="宋体"/>
                <w:highlight w:val="none"/>
              </w:rPr>
            </w:pPr>
          </w:p>
        </w:tc>
        <w:tc>
          <w:tcPr>
            <w:tcW w:w="843" w:type="dxa"/>
          </w:tcPr>
          <w:p>
            <w:pPr>
              <w:spacing w:line="360" w:lineRule="auto"/>
              <w:rPr>
                <w:rFonts w:ascii="宋体" w:hAnsi="宋体"/>
                <w:highlight w:val="none"/>
              </w:rPr>
            </w:pPr>
          </w:p>
        </w:tc>
        <w:tc>
          <w:tcPr>
            <w:tcW w:w="3023" w:type="dxa"/>
          </w:tcPr>
          <w:p>
            <w:pPr>
              <w:spacing w:line="360" w:lineRule="auto"/>
              <w:rPr>
                <w:rFonts w:ascii="宋体" w:hAnsi="宋体"/>
                <w:highlight w:val="none"/>
              </w:rPr>
            </w:pPr>
          </w:p>
        </w:tc>
        <w:tc>
          <w:tcPr>
            <w:tcW w:w="3264" w:type="dxa"/>
          </w:tcPr>
          <w:p>
            <w:pPr>
              <w:spacing w:line="360" w:lineRule="auto"/>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715" w:type="dxa"/>
          </w:tcPr>
          <w:p>
            <w:pPr>
              <w:spacing w:line="360" w:lineRule="auto"/>
              <w:rPr>
                <w:rFonts w:ascii="宋体" w:hAnsi="宋体"/>
                <w:highlight w:val="none"/>
              </w:rPr>
            </w:pPr>
          </w:p>
        </w:tc>
        <w:tc>
          <w:tcPr>
            <w:tcW w:w="1519" w:type="dxa"/>
          </w:tcPr>
          <w:p>
            <w:pPr>
              <w:spacing w:line="360" w:lineRule="auto"/>
              <w:rPr>
                <w:rFonts w:ascii="宋体" w:hAnsi="宋体"/>
                <w:highlight w:val="none"/>
              </w:rPr>
            </w:pPr>
          </w:p>
        </w:tc>
        <w:tc>
          <w:tcPr>
            <w:tcW w:w="843" w:type="dxa"/>
          </w:tcPr>
          <w:p>
            <w:pPr>
              <w:spacing w:line="360" w:lineRule="auto"/>
              <w:rPr>
                <w:rFonts w:ascii="宋体" w:hAnsi="宋体"/>
                <w:highlight w:val="none"/>
              </w:rPr>
            </w:pPr>
          </w:p>
        </w:tc>
        <w:tc>
          <w:tcPr>
            <w:tcW w:w="3023" w:type="dxa"/>
          </w:tcPr>
          <w:p>
            <w:pPr>
              <w:spacing w:line="360" w:lineRule="auto"/>
              <w:rPr>
                <w:rFonts w:ascii="宋体" w:hAnsi="宋体"/>
                <w:highlight w:val="none"/>
              </w:rPr>
            </w:pPr>
          </w:p>
        </w:tc>
        <w:tc>
          <w:tcPr>
            <w:tcW w:w="3264" w:type="dxa"/>
          </w:tcPr>
          <w:p>
            <w:pPr>
              <w:spacing w:line="360" w:lineRule="auto"/>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715" w:type="dxa"/>
          </w:tcPr>
          <w:p>
            <w:pPr>
              <w:spacing w:line="360" w:lineRule="auto"/>
              <w:rPr>
                <w:rFonts w:ascii="宋体" w:hAnsi="宋体"/>
                <w:highlight w:val="none"/>
              </w:rPr>
            </w:pPr>
          </w:p>
        </w:tc>
        <w:tc>
          <w:tcPr>
            <w:tcW w:w="1519" w:type="dxa"/>
          </w:tcPr>
          <w:p>
            <w:pPr>
              <w:spacing w:line="360" w:lineRule="auto"/>
              <w:rPr>
                <w:rFonts w:ascii="宋体" w:hAnsi="宋体"/>
                <w:highlight w:val="none"/>
              </w:rPr>
            </w:pPr>
          </w:p>
        </w:tc>
        <w:tc>
          <w:tcPr>
            <w:tcW w:w="843" w:type="dxa"/>
          </w:tcPr>
          <w:p>
            <w:pPr>
              <w:spacing w:line="360" w:lineRule="auto"/>
              <w:rPr>
                <w:rFonts w:ascii="宋体" w:hAnsi="宋体"/>
                <w:highlight w:val="none"/>
              </w:rPr>
            </w:pPr>
          </w:p>
        </w:tc>
        <w:tc>
          <w:tcPr>
            <w:tcW w:w="3023" w:type="dxa"/>
          </w:tcPr>
          <w:p>
            <w:pPr>
              <w:spacing w:line="360" w:lineRule="auto"/>
              <w:rPr>
                <w:rFonts w:ascii="宋体" w:hAnsi="宋体"/>
                <w:highlight w:val="none"/>
              </w:rPr>
            </w:pPr>
          </w:p>
        </w:tc>
        <w:tc>
          <w:tcPr>
            <w:tcW w:w="3264" w:type="dxa"/>
          </w:tcPr>
          <w:p>
            <w:pPr>
              <w:spacing w:line="360" w:lineRule="auto"/>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715" w:type="dxa"/>
          </w:tcPr>
          <w:p>
            <w:pPr>
              <w:spacing w:line="360" w:lineRule="auto"/>
              <w:rPr>
                <w:rFonts w:ascii="宋体" w:hAnsi="宋体"/>
                <w:highlight w:val="none"/>
              </w:rPr>
            </w:pPr>
          </w:p>
        </w:tc>
        <w:tc>
          <w:tcPr>
            <w:tcW w:w="1519" w:type="dxa"/>
          </w:tcPr>
          <w:p>
            <w:pPr>
              <w:spacing w:line="360" w:lineRule="auto"/>
              <w:rPr>
                <w:rFonts w:ascii="宋体" w:hAnsi="宋体"/>
                <w:highlight w:val="none"/>
              </w:rPr>
            </w:pPr>
          </w:p>
        </w:tc>
        <w:tc>
          <w:tcPr>
            <w:tcW w:w="843" w:type="dxa"/>
          </w:tcPr>
          <w:p>
            <w:pPr>
              <w:spacing w:line="360" w:lineRule="auto"/>
              <w:rPr>
                <w:rFonts w:ascii="宋体" w:hAnsi="宋体"/>
                <w:highlight w:val="none"/>
              </w:rPr>
            </w:pPr>
          </w:p>
        </w:tc>
        <w:tc>
          <w:tcPr>
            <w:tcW w:w="3023" w:type="dxa"/>
          </w:tcPr>
          <w:p>
            <w:pPr>
              <w:spacing w:line="360" w:lineRule="auto"/>
              <w:rPr>
                <w:rFonts w:ascii="宋体" w:hAnsi="宋体"/>
                <w:highlight w:val="none"/>
              </w:rPr>
            </w:pPr>
          </w:p>
        </w:tc>
        <w:tc>
          <w:tcPr>
            <w:tcW w:w="3264" w:type="dxa"/>
          </w:tcPr>
          <w:p>
            <w:pPr>
              <w:spacing w:line="360" w:lineRule="auto"/>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715" w:type="dxa"/>
          </w:tcPr>
          <w:p>
            <w:pPr>
              <w:spacing w:line="360" w:lineRule="auto"/>
              <w:rPr>
                <w:rFonts w:ascii="宋体" w:hAnsi="宋体"/>
                <w:highlight w:val="none"/>
              </w:rPr>
            </w:pPr>
          </w:p>
        </w:tc>
        <w:tc>
          <w:tcPr>
            <w:tcW w:w="1519" w:type="dxa"/>
          </w:tcPr>
          <w:p>
            <w:pPr>
              <w:spacing w:line="360" w:lineRule="auto"/>
              <w:rPr>
                <w:rFonts w:ascii="宋体" w:hAnsi="宋体"/>
                <w:highlight w:val="none"/>
              </w:rPr>
            </w:pPr>
          </w:p>
        </w:tc>
        <w:tc>
          <w:tcPr>
            <w:tcW w:w="843" w:type="dxa"/>
          </w:tcPr>
          <w:p>
            <w:pPr>
              <w:spacing w:line="360" w:lineRule="auto"/>
              <w:rPr>
                <w:rFonts w:ascii="宋体" w:hAnsi="宋体"/>
                <w:highlight w:val="none"/>
              </w:rPr>
            </w:pPr>
          </w:p>
        </w:tc>
        <w:tc>
          <w:tcPr>
            <w:tcW w:w="3023" w:type="dxa"/>
          </w:tcPr>
          <w:p>
            <w:pPr>
              <w:spacing w:line="360" w:lineRule="auto"/>
              <w:rPr>
                <w:rFonts w:ascii="宋体" w:hAnsi="宋体"/>
                <w:highlight w:val="none"/>
              </w:rPr>
            </w:pPr>
          </w:p>
        </w:tc>
        <w:tc>
          <w:tcPr>
            <w:tcW w:w="3264" w:type="dxa"/>
          </w:tcPr>
          <w:p>
            <w:pPr>
              <w:spacing w:line="360" w:lineRule="auto"/>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7" w:hRule="atLeast"/>
        </w:trPr>
        <w:tc>
          <w:tcPr>
            <w:tcW w:w="715" w:type="dxa"/>
          </w:tcPr>
          <w:p>
            <w:pPr>
              <w:spacing w:line="360" w:lineRule="auto"/>
              <w:rPr>
                <w:rFonts w:ascii="宋体" w:hAnsi="宋体"/>
                <w:highlight w:val="none"/>
              </w:rPr>
            </w:pPr>
          </w:p>
        </w:tc>
        <w:tc>
          <w:tcPr>
            <w:tcW w:w="1519" w:type="dxa"/>
          </w:tcPr>
          <w:p>
            <w:pPr>
              <w:spacing w:line="360" w:lineRule="auto"/>
              <w:rPr>
                <w:rFonts w:ascii="宋体" w:hAnsi="宋体"/>
                <w:highlight w:val="none"/>
              </w:rPr>
            </w:pPr>
          </w:p>
        </w:tc>
        <w:tc>
          <w:tcPr>
            <w:tcW w:w="843" w:type="dxa"/>
          </w:tcPr>
          <w:p>
            <w:pPr>
              <w:spacing w:line="360" w:lineRule="auto"/>
              <w:rPr>
                <w:rFonts w:ascii="宋体" w:hAnsi="宋体"/>
                <w:highlight w:val="none"/>
              </w:rPr>
            </w:pPr>
          </w:p>
        </w:tc>
        <w:tc>
          <w:tcPr>
            <w:tcW w:w="3023" w:type="dxa"/>
          </w:tcPr>
          <w:p>
            <w:pPr>
              <w:spacing w:line="360" w:lineRule="auto"/>
              <w:rPr>
                <w:rFonts w:ascii="宋体" w:hAnsi="宋体"/>
                <w:highlight w:val="none"/>
              </w:rPr>
            </w:pPr>
          </w:p>
        </w:tc>
        <w:tc>
          <w:tcPr>
            <w:tcW w:w="3264" w:type="dxa"/>
          </w:tcPr>
          <w:p>
            <w:pPr>
              <w:spacing w:line="360" w:lineRule="auto"/>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715" w:type="dxa"/>
          </w:tcPr>
          <w:p>
            <w:pPr>
              <w:spacing w:line="360" w:lineRule="auto"/>
              <w:rPr>
                <w:rFonts w:ascii="宋体" w:hAnsi="宋体"/>
                <w:highlight w:val="none"/>
              </w:rPr>
            </w:pPr>
          </w:p>
        </w:tc>
        <w:tc>
          <w:tcPr>
            <w:tcW w:w="1519" w:type="dxa"/>
          </w:tcPr>
          <w:p>
            <w:pPr>
              <w:spacing w:line="360" w:lineRule="auto"/>
              <w:rPr>
                <w:rFonts w:ascii="宋体" w:hAnsi="宋体"/>
                <w:highlight w:val="none"/>
              </w:rPr>
            </w:pPr>
          </w:p>
        </w:tc>
        <w:tc>
          <w:tcPr>
            <w:tcW w:w="843" w:type="dxa"/>
          </w:tcPr>
          <w:p>
            <w:pPr>
              <w:spacing w:line="360" w:lineRule="auto"/>
              <w:rPr>
                <w:rFonts w:ascii="宋体" w:hAnsi="宋体"/>
                <w:highlight w:val="none"/>
              </w:rPr>
            </w:pPr>
          </w:p>
        </w:tc>
        <w:tc>
          <w:tcPr>
            <w:tcW w:w="3023" w:type="dxa"/>
          </w:tcPr>
          <w:p>
            <w:pPr>
              <w:spacing w:line="360" w:lineRule="auto"/>
              <w:rPr>
                <w:rFonts w:ascii="宋体" w:hAnsi="宋体"/>
                <w:highlight w:val="none"/>
              </w:rPr>
            </w:pPr>
          </w:p>
        </w:tc>
        <w:tc>
          <w:tcPr>
            <w:tcW w:w="3264" w:type="dxa"/>
          </w:tcPr>
          <w:p>
            <w:pPr>
              <w:spacing w:line="360" w:lineRule="auto"/>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715" w:type="dxa"/>
          </w:tcPr>
          <w:p>
            <w:pPr>
              <w:spacing w:line="360" w:lineRule="auto"/>
              <w:rPr>
                <w:rFonts w:ascii="宋体" w:hAnsi="宋体"/>
                <w:highlight w:val="none"/>
              </w:rPr>
            </w:pPr>
          </w:p>
        </w:tc>
        <w:tc>
          <w:tcPr>
            <w:tcW w:w="1519" w:type="dxa"/>
          </w:tcPr>
          <w:p>
            <w:pPr>
              <w:spacing w:line="360" w:lineRule="auto"/>
              <w:rPr>
                <w:rFonts w:ascii="宋体" w:hAnsi="宋体"/>
                <w:highlight w:val="none"/>
              </w:rPr>
            </w:pPr>
          </w:p>
        </w:tc>
        <w:tc>
          <w:tcPr>
            <w:tcW w:w="843" w:type="dxa"/>
          </w:tcPr>
          <w:p>
            <w:pPr>
              <w:spacing w:line="360" w:lineRule="auto"/>
              <w:rPr>
                <w:rFonts w:ascii="宋体" w:hAnsi="宋体"/>
                <w:highlight w:val="none"/>
              </w:rPr>
            </w:pPr>
          </w:p>
        </w:tc>
        <w:tc>
          <w:tcPr>
            <w:tcW w:w="3023" w:type="dxa"/>
          </w:tcPr>
          <w:p>
            <w:pPr>
              <w:spacing w:line="360" w:lineRule="auto"/>
              <w:rPr>
                <w:rFonts w:ascii="宋体" w:hAnsi="宋体"/>
                <w:highlight w:val="none"/>
              </w:rPr>
            </w:pPr>
          </w:p>
        </w:tc>
        <w:tc>
          <w:tcPr>
            <w:tcW w:w="3264" w:type="dxa"/>
          </w:tcPr>
          <w:p>
            <w:pPr>
              <w:spacing w:line="360" w:lineRule="auto"/>
              <w:rPr>
                <w:rFonts w:ascii="宋体" w:hAnsi="宋体"/>
                <w:highlight w:val="none"/>
              </w:rPr>
            </w:pPr>
          </w:p>
        </w:tc>
      </w:tr>
    </w:tbl>
    <w:p>
      <w:pPr>
        <w:spacing w:line="360" w:lineRule="auto"/>
        <w:rPr>
          <w:rFonts w:ascii="宋体" w:hAnsi="宋体"/>
          <w:highlight w:val="none"/>
        </w:rPr>
      </w:pPr>
      <w:r>
        <w:rPr>
          <w:rFonts w:ascii="宋体" w:hAnsi="宋体"/>
          <w:highlight w:val="none"/>
        </w:rPr>
        <w:t xml:space="preserve">   </w:t>
      </w:r>
      <w:r>
        <w:rPr>
          <w:rFonts w:hint="eastAsia" w:ascii="宋体" w:hAnsi="宋体"/>
          <w:highlight w:val="none"/>
        </w:rPr>
        <w:t>注：相关主要技术要求，详见《用户需求书》中，标记</w:t>
      </w:r>
      <w:r>
        <w:rPr>
          <w:rFonts w:hint="eastAsia" w:ascii="宋体" w:hAnsi="宋体" w:cs="宋体"/>
          <w:color w:val="000000"/>
          <w:kern w:val="0"/>
          <w:szCs w:val="21"/>
          <w:highlight w:val="none"/>
          <w:lang w:bidi="ar"/>
        </w:rPr>
        <w:t>▲符号。</w:t>
      </w:r>
    </w:p>
    <w:p>
      <w:pPr>
        <w:spacing w:line="360" w:lineRule="auto"/>
        <w:rPr>
          <w:rFonts w:ascii="宋体" w:hAnsi="宋体"/>
          <w:highlight w:val="none"/>
          <w:u w:val="single"/>
        </w:rPr>
      </w:pPr>
      <w:r>
        <w:rPr>
          <w:rFonts w:hint="eastAsia" w:ascii="宋体" w:hAnsi="宋体"/>
          <w:highlight w:val="none"/>
        </w:rPr>
        <w:t>投标人（盖章）：</w:t>
      </w:r>
      <w:r>
        <w:rPr>
          <w:rFonts w:ascii="宋体" w:hAnsi="宋体"/>
          <w:highlight w:val="none"/>
          <w:u w:val="single"/>
        </w:rPr>
        <w:t xml:space="preserve">                                     </w:t>
      </w:r>
    </w:p>
    <w:p>
      <w:pPr>
        <w:spacing w:line="360" w:lineRule="auto"/>
        <w:rPr>
          <w:rFonts w:ascii="宋体" w:hAnsi="宋体"/>
          <w:highlight w:val="none"/>
          <w:u w:val="single"/>
        </w:rPr>
      </w:pPr>
      <w:r>
        <w:rPr>
          <w:rFonts w:hint="eastAsia" w:ascii="宋体" w:hAnsi="宋体"/>
          <w:highlight w:val="none"/>
        </w:rPr>
        <w:t>法定人代表人或委托代理人（签字或</w:t>
      </w:r>
      <w:r>
        <w:rPr>
          <w:rFonts w:ascii="宋体" w:hAnsi="宋体"/>
          <w:highlight w:val="none"/>
        </w:rPr>
        <w:t>盖章</w:t>
      </w:r>
      <w:r>
        <w:rPr>
          <w:rFonts w:hint="eastAsia" w:ascii="宋体" w:hAnsi="宋体"/>
          <w:highlight w:val="none"/>
        </w:rPr>
        <w:t>）：</w:t>
      </w:r>
      <w:r>
        <w:rPr>
          <w:rFonts w:ascii="宋体" w:hAnsi="宋体"/>
          <w:highlight w:val="none"/>
          <w:u w:val="single"/>
        </w:rPr>
        <w:t xml:space="preserve">                     </w:t>
      </w:r>
    </w:p>
    <w:p>
      <w:pPr>
        <w:pStyle w:val="14"/>
        <w:tabs>
          <w:tab w:val="left" w:pos="0"/>
        </w:tabs>
        <w:rPr>
          <w:rFonts w:hAnsi="宋体"/>
          <w:b/>
          <w:bCs/>
          <w:sz w:val="32"/>
          <w:szCs w:val="40"/>
          <w:highlight w:val="none"/>
        </w:rPr>
      </w:pPr>
      <w:r>
        <w:rPr>
          <w:rFonts w:hint="eastAsia" w:hAnsi="宋体"/>
          <w:highlight w:val="none"/>
        </w:rPr>
        <w:t>日期：</w:t>
      </w:r>
      <w:r>
        <w:rPr>
          <w:rFonts w:hAnsi="宋体"/>
          <w:highlight w:val="none"/>
        </w:rPr>
        <w:t xml:space="preserve">     </w:t>
      </w:r>
      <w:r>
        <w:rPr>
          <w:rFonts w:hint="eastAsia" w:hAnsi="宋体"/>
          <w:highlight w:val="none"/>
        </w:rPr>
        <w:t>年</w:t>
      </w:r>
      <w:r>
        <w:rPr>
          <w:rFonts w:hAnsi="宋体"/>
          <w:highlight w:val="none"/>
        </w:rPr>
        <w:t xml:space="preserve">   </w:t>
      </w:r>
      <w:r>
        <w:rPr>
          <w:rFonts w:hint="eastAsia" w:hAnsi="宋体"/>
          <w:highlight w:val="none"/>
        </w:rPr>
        <w:t>月</w:t>
      </w:r>
      <w:r>
        <w:rPr>
          <w:rFonts w:hAnsi="宋体"/>
          <w:highlight w:val="none"/>
        </w:rPr>
        <w:t xml:space="preserve">  </w:t>
      </w:r>
      <w:r>
        <w:rPr>
          <w:rFonts w:hint="eastAsia" w:hAnsi="宋体"/>
          <w:highlight w:val="none"/>
        </w:rPr>
        <w:t>日</w:t>
      </w:r>
    </w:p>
    <w:p>
      <w:pPr>
        <w:pStyle w:val="14"/>
        <w:numPr>
          <w:ilvl w:val="0"/>
          <w:numId w:val="6"/>
        </w:numPr>
        <w:rPr>
          <w:rFonts w:hAnsi="宋体"/>
          <w:b/>
          <w:bCs/>
          <w:sz w:val="32"/>
          <w:szCs w:val="40"/>
          <w:highlight w:val="none"/>
        </w:rPr>
      </w:pPr>
      <w:r>
        <w:rPr>
          <w:rFonts w:hAnsi="宋体"/>
          <w:highlight w:val="none"/>
        </w:rPr>
        <w:br w:type="page"/>
      </w:r>
    </w:p>
    <w:p>
      <w:pPr>
        <w:pStyle w:val="14"/>
        <w:numPr>
          <w:ilvl w:val="0"/>
          <w:numId w:val="6"/>
        </w:numPr>
        <w:rPr>
          <w:rFonts w:hAnsi="宋体"/>
          <w:b/>
          <w:bCs/>
          <w:sz w:val="32"/>
          <w:szCs w:val="40"/>
          <w:highlight w:val="none"/>
        </w:rPr>
      </w:pPr>
      <w:r>
        <w:rPr>
          <w:rFonts w:hint="eastAsia" w:hAnsi="宋体"/>
          <w:b/>
          <w:bCs/>
          <w:sz w:val="32"/>
          <w:szCs w:val="40"/>
          <w:highlight w:val="none"/>
        </w:rPr>
        <w:t>对合同条款的响应情况</w:t>
      </w:r>
    </w:p>
    <w:p>
      <w:pPr>
        <w:pStyle w:val="10"/>
        <w:spacing w:line="360" w:lineRule="auto"/>
        <w:ind w:firstLine="0"/>
        <w:jc w:val="center"/>
        <w:rPr>
          <w:rFonts w:ascii="宋体" w:hAnsi="宋体"/>
          <w:b/>
          <w:bCs/>
          <w:szCs w:val="24"/>
          <w:highlight w:val="none"/>
        </w:rPr>
      </w:pPr>
      <w:r>
        <w:rPr>
          <w:rFonts w:hint="eastAsia" w:ascii="宋体" w:hAnsi="宋体"/>
          <w:b/>
          <w:bCs/>
          <w:szCs w:val="24"/>
          <w:highlight w:val="none"/>
        </w:rPr>
        <w:t>对合同条款的</w:t>
      </w:r>
      <w:bookmarkEnd w:id="141"/>
      <w:r>
        <w:rPr>
          <w:rFonts w:hint="eastAsia" w:ascii="宋体" w:hAnsi="宋体"/>
          <w:b/>
          <w:bCs/>
          <w:szCs w:val="24"/>
          <w:highlight w:val="none"/>
        </w:rPr>
        <w:t>响应情况（两种情况请选择一种应答,在</w:t>
      </w:r>
      <w:r>
        <w:rPr>
          <w:rFonts w:hint="eastAsia" w:ascii="宋体" w:hAnsi="宋体"/>
          <w:b/>
          <w:bCs/>
          <w:szCs w:val="24"/>
          <w:highlight w:val="none"/>
        </w:rPr>
        <w:fldChar w:fldCharType="begin">
          <w:ffData>
            <w:name w:val="CheckBox1"/>
            <w:enabled/>
            <w:calcOnExit w:val="0"/>
            <w:checkBox>
              <w:sizeAuto/>
              <w:default w:val="0"/>
              <w:checked w:val="0"/>
            </w:checkBox>
          </w:ffData>
        </w:fldChar>
      </w:r>
      <w:bookmarkStart w:id="142" w:name="CheckBox1"/>
      <w:r>
        <w:rPr>
          <w:rFonts w:hint="eastAsia" w:ascii="宋体" w:hAnsi="宋体"/>
          <w:b/>
          <w:bCs/>
          <w:szCs w:val="24"/>
          <w:highlight w:val="none"/>
        </w:rPr>
        <w:instrText xml:space="preserve">FORMCHECKBOX</w:instrText>
      </w:r>
      <w:r>
        <w:rPr>
          <w:rFonts w:hint="eastAsia" w:ascii="宋体" w:hAnsi="宋体"/>
          <w:b/>
          <w:bCs/>
          <w:szCs w:val="24"/>
          <w:highlight w:val="none"/>
        </w:rPr>
        <w:fldChar w:fldCharType="separate"/>
      </w:r>
      <w:r>
        <w:rPr>
          <w:rFonts w:hint="eastAsia" w:ascii="宋体" w:hAnsi="宋体"/>
          <w:b/>
          <w:bCs/>
          <w:szCs w:val="24"/>
          <w:highlight w:val="none"/>
        </w:rPr>
        <w:fldChar w:fldCharType="end"/>
      </w:r>
      <w:bookmarkEnd w:id="142"/>
      <w:r>
        <w:rPr>
          <w:rFonts w:hint="eastAsia" w:ascii="宋体" w:hAnsi="宋体"/>
          <w:b/>
          <w:bCs/>
          <w:szCs w:val="24"/>
          <w:highlight w:val="none"/>
        </w:rPr>
        <w:t>上打“</w:t>
      </w:r>
      <w:r>
        <w:rPr>
          <w:rFonts w:ascii="宋体" w:hAnsi="宋体"/>
          <w:b/>
          <w:bCs/>
          <w:szCs w:val="24"/>
          <w:highlight w:val="none"/>
        </w:rPr>
        <w:t>√</w:t>
      </w:r>
      <w:r>
        <w:rPr>
          <w:rFonts w:hint="eastAsia" w:ascii="宋体" w:hAnsi="宋体"/>
          <w:b/>
          <w:bCs/>
          <w:szCs w:val="24"/>
          <w:highlight w:val="none"/>
        </w:rPr>
        <w:t>”）</w:t>
      </w:r>
    </w:p>
    <w:p>
      <w:pPr>
        <w:spacing w:line="360" w:lineRule="auto"/>
        <w:rPr>
          <w:rFonts w:ascii="宋体" w:hAnsi="宋体"/>
          <w:highlight w:val="none"/>
        </w:rPr>
      </w:pPr>
      <w:r>
        <w:rPr>
          <w:rFonts w:hint="eastAsia" w:ascii="宋体" w:hAnsi="宋体"/>
          <w:highlight w:val="none"/>
        </w:rPr>
        <w:fldChar w:fldCharType="begin">
          <w:ffData>
            <w:name w:val="CheckBox2"/>
            <w:enabled/>
            <w:calcOnExit w:val="0"/>
            <w:checkBox>
              <w:sizeAuto/>
              <w:default w:val="0"/>
              <w:checked w:val="0"/>
            </w:checkBox>
          </w:ffData>
        </w:fldChar>
      </w:r>
      <w:bookmarkStart w:id="143" w:name="CheckBox2"/>
      <w:r>
        <w:rPr>
          <w:rFonts w:hint="eastAsia" w:ascii="宋体" w:hAnsi="宋体"/>
          <w:highlight w:val="none"/>
        </w:rPr>
        <w:instrText xml:space="preserve">FORMCHECKBOX</w:instrText>
      </w:r>
      <w:r>
        <w:rPr>
          <w:rFonts w:hint="eastAsia" w:ascii="宋体" w:hAnsi="宋体"/>
          <w:highlight w:val="none"/>
        </w:rPr>
        <w:fldChar w:fldCharType="separate"/>
      </w:r>
      <w:r>
        <w:rPr>
          <w:rFonts w:hint="eastAsia" w:ascii="宋体" w:hAnsi="宋体"/>
          <w:highlight w:val="none"/>
        </w:rPr>
        <w:fldChar w:fldCharType="end"/>
      </w:r>
      <w:bookmarkEnd w:id="143"/>
      <w:r>
        <w:rPr>
          <w:rFonts w:hint="eastAsia" w:ascii="宋体" w:hAnsi="宋体"/>
          <w:highlight w:val="none"/>
        </w:rPr>
        <w:t>合同条款全部满足</w:t>
      </w:r>
    </w:p>
    <w:p>
      <w:pPr>
        <w:spacing w:line="360" w:lineRule="auto"/>
        <w:rPr>
          <w:rFonts w:ascii="宋体" w:hAnsi="宋体"/>
          <w:highlight w:val="none"/>
        </w:rPr>
      </w:pPr>
    </w:p>
    <w:p>
      <w:pPr>
        <w:spacing w:line="360" w:lineRule="auto"/>
        <w:rPr>
          <w:rFonts w:ascii="宋体" w:hAnsi="宋体"/>
          <w:highlight w:val="none"/>
        </w:rPr>
      </w:pPr>
      <w:r>
        <w:rPr>
          <w:rFonts w:hint="eastAsia" w:ascii="宋体" w:hAnsi="宋体"/>
          <w:highlight w:val="none"/>
        </w:rPr>
        <w:fldChar w:fldCharType="begin">
          <w:ffData>
            <w:name w:val="CheckBox3"/>
            <w:enabled/>
            <w:calcOnExit w:val="0"/>
            <w:checkBox>
              <w:sizeAuto/>
              <w:default w:val="0"/>
              <w:checked w:val="0"/>
            </w:checkBox>
          </w:ffData>
        </w:fldChar>
      </w:r>
      <w:bookmarkStart w:id="144" w:name="CheckBox3"/>
      <w:r>
        <w:rPr>
          <w:rFonts w:hint="eastAsia" w:ascii="宋体" w:hAnsi="宋体"/>
          <w:highlight w:val="none"/>
        </w:rPr>
        <w:instrText xml:space="preserve">FORMCHECKBOX</w:instrText>
      </w:r>
      <w:r>
        <w:rPr>
          <w:rFonts w:hint="eastAsia" w:ascii="宋体" w:hAnsi="宋体"/>
          <w:highlight w:val="none"/>
        </w:rPr>
        <w:fldChar w:fldCharType="separate"/>
      </w:r>
      <w:r>
        <w:rPr>
          <w:rFonts w:hint="eastAsia" w:ascii="宋体" w:hAnsi="宋体"/>
          <w:highlight w:val="none"/>
        </w:rPr>
        <w:fldChar w:fldCharType="end"/>
      </w:r>
      <w:bookmarkEnd w:id="144"/>
      <w:r>
        <w:rPr>
          <w:rFonts w:hint="eastAsia" w:ascii="宋体" w:hAnsi="宋体"/>
          <w:highlight w:val="none"/>
        </w:rPr>
        <w:t>1、不同意的合同条款（请列出修改意见）</w:t>
      </w:r>
    </w:p>
    <w:p>
      <w:pPr>
        <w:spacing w:line="360" w:lineRule="auto"/>
        <w:rPr>
          <w:rFonts w:ascii="宋体" w:hAnsi="宋体"/>
          <w:highlight w:val="none"/>
          <w:u w:val="single"/>
        </w:rPr>
      </w:pPr>
      <w:r>
        <w:rPr>
          <w:rFonts w:hint="eastAsia" w:ascii="宋体" w:hAnsi="宋体"/>
          <w:highlight w:val="none"/>
        </w:rPr>
        <w:t xml:space="preserve">   </w:t>
      </w:r>
      <w:r>
        <w:rPr>
          <w:rFonts w:hint="eastAsia" w:ascii="宋体" w:hAnsi="宋体"/>
          <w:highlight w:val="none"/>
          <w:u w:val="single"/>
        </w:rPr>
        <w:t xml:space="preserve">                                                                      </w:t>
      </w:r>
    </w:p>
    <w:p>
      <w:pPr>
        <w:spacing w:line="360" w:lineRule="auto"/>
        <w:rPr>
          <w:rFonts w:ascii="宋体" w:hAnsi="宋体"/>
          <w:highlight w:val="none"/>
          <w:u w:val="single"/>
        </w:rPr>
      </w:pPr>
      <w:r>
        <w:rPr>
          <w:rFonts w:hint="eastAsia" w:ascii="宋体" w:hAnsi="宋体"/>
          <w:highlight w:val="none"/>
        </w:rPr>
        <w:t xml:space="preserve">   </w:t>
      </w:r>
      <w:r>
        <w:rPr>
          <w:rFonts w:hint="eastAsia" w:ascii="宋体" w:hAnsi="宋体"/>
          <w:highlight w:val="none"/>
          <w:u w:val="single"/>
        </w:rPr>
        <w:t xml:space="preserve">                                                                      </w:t>
      </w:r>
    </w:p>
    <w:p>
      <w:pPr>
        <w:spacing w:line="360" w:lineRule="auto"/>
        <w:rPr>
          <w:rFonts w:ascii="宋体" w:hAnsi="宋体"/>
          <w:highlight w:val="none"/>
          <w:u w:val="single"/>
        </w:rPr>
      </w:pPr>
      <w:r>
        <w:rPr>
          <w:rFonts w:hint="eastAsia" w:ascii="宋体" w:hAnsi="宋体"/>
          <w:highlight w:val="none"/>
        </w:rPr>
        <w:t xml:space="preserve">   </w:t>
      </w:r>
      <w:r>
        <w:rPr>
          <w:rFonts w:hint="eastAsia" w:ascii="宋体" w:hAnsi="宋体"/>
          <w:highlight w:val="none"/>
          <w:u w:val="single"/>
        </w:rPr>
        <w:t xml:space="preserve">                                                                      </w:t>
      </w:r>
    </w:p>
    <w:p>
      <w:pPr>
        <w:spacing w:line="360" w:lineRule="auto"/>
        <w:rPr>
          <w:rFonts w:ascii="宋体" w:hAnsi="宋体"/>
          <w:highlight w:val="none"/>
          <w:u w:val="single"/>
        </w:rPr>
      </w:pPr>
      <w:r>
        <w:rPr>
          <w:rFonts w:hint="eastAsia" w:ascii="宋体" w:hAnsi="宋体"/>
          <w:highlight w:val="none"/>
        </w:rPr>
        <w:t xml:space="preserve">   </w:t>
      </w:r>
      <w:r>
        <w:rPr>
          <w:rFonts w:hint="eastAsia" w:ascii="宋体" w:hAnsi="宋体"/>
          <w:highlight w:val="none"/>
          <w:u w:val="single"/>
        </w:rPr>
        <w:t xml:space="preserve">                                                                      </w:t>
      </w:r>
    </w:p>
    <w:p>
      <w:pPr>
        <w:spacing w:line="360" w:lineRule="auto"/>
        <w:ind w:firstLine="210" w:firstLineChars="100"/>
        <w:rPr>
          <w:rFonts w:ascii="宋体" w:hAnsi="宋体"/>
          <w:highlight w:val="none"/>
        </w:rPr>
      </w:pPr>
      <w:r>
        <w:rPr>
          <w:rFonts w:hint="eastAsia" w:ascii="宋体" w:hAnsi="宋体"/>
          <w:highlight w:val="none"/>
        </w:rPr>
        <w:t>2、其余合同条款全部满足。</w:t>
      </w:r>
    </w:p>
    <w:p>
      <w:pPr>
        <w:spacing w:line="360" w:lineRule="auto"/>
        <w:ind w:firstLine="420"/>
        <w:rPr>
          <w:rFonts w:ascii="宋体" w:hAnsi="宋体"/>
          <w:highlight w:val="none"/>
        </w:rPr>
      </w:pPr>
    </w:p>
    <w:p>
      <w:pPr>
        <w:spacing w:line="360" w:lineRule="auto"/>
        <w:rPr>
          <w:rFonts w:ascii="宋体" w:hAnsi="宋体"/>
          <w:highlight w:val="none"/>
          <w:u w:val="single"/>
        </w:rPr>
      </w:pPr>
      <w:r>
        <w:rPr>
          <w:rFonts w:hint="eastAsia" w:ascii="宋体" w:hAnsi="宋体"/>
          <w:highlight w:val="none"/>
        </w:rPr>
        <w:t>投标人（盖章）：</w:t>
      </w:r>
      <w:r>
        <w:rPr>
          <w:rFonts w:ascii="宋体" w:hAnsi="宋体"/>
          <w:highlight w:val="none"/>
          <w:u w:val="single"/>
        </w:rPr>
        <w:t xml:space="preserve">                                     </w:t>
      </w:r>
    </w:p>
    <w:p>
      <w:pPr>
        <w:spacing w:line="360" w:lineRule="auto"/>
        <w:rPr>
          <w:rFonts w:ascii="宋体" w:hAnsi="宋体"/>
          <w:highlight w:val="none"/>
          <w:u w:val="single"/>
        </w:rPr>
      </w:pPr>
      <w:r>
        <w:rPr>
          <w:rFonts w:hint="eastAsia" w:ascii="宋体" w:hAnsi="宋体"/>
          <w:highlight w:val="none"/>
        </w:rPr>
        <w:t>法定人代表人或委托代理人（签字或</w:t>
      </w:r>
      <w:r>
        <w:rPr>
          <w:rFonts w:ascii="宋体" w:hAnsi="宋体"/>
          <w:highlight w:val="none"/>
        </w:rPr>
        <w:t>盖章</w:t>
      </w:r>
      <w:r>
        <w:rPr>
          <w:rFonts w:hint="eastAsia" w:ascii="宋体" w:hAnsi="宋体"/>
          <w:highlight w:val="none"/>
        </w:rPr>
        <w:t>）：</w:t>
      </w:r>
      <w:r>
        <w:rPr>
          <w:rFonts w:ascii="宋体" w:hAnsi="宋体"/>
          <w:highlight w:val="none"/>
          <w:u w:val="single"/>
        </w:rPr>
        <w:t xml:space="preserve">                     </w:t>
      </w:r>
    </w:p>
    <w:p>
      <w:pPr>
        <w:spacing w:line="360" w:lineRule="auto"/>
        <w:rPr>
          <w:rFonts w:ascii="宋体" w:hAnsi="宋体"/>
          <w:highlight w:val="none"/>
        </w:rPr>
      </w:pPr>
      <w:r>
        <w:rPr>
          <w:rFonts w:hint="eastAsia" w:ascii="宋体" w:hAnsi="宋体"/>
          <w:highlight w:val="none"/>
        </w:rPr>
        <w:t>日期：</w:t>
      </w:r>
      <w:r>
        <w:rPr>
          <w:rFonts w:ascii="宋体" w:hAnsi="宋体"/>
          <w:highlight w:val="none"/>
        </w:rPr>
        <w:t xml:space="preserve">     </w:t>
      </w:r>
      <w:r>
        <w:rPr>
          <w:rFonts w:hint="eastAsia" w:ascii="宋体" w:hAnsi="宋体"/>
          <w:highlight w:val="none"/>
        </w:rPr>
        <w:t>年</w:t>
      </w:r>
      <w:r>
        <w:rPr>
          <w:rFonts w:ascii="宋体" w:hAnsi="宋体"/>
          <w:highlight w:val="none"/>
        </w:rPr>
        <w:t xml:space="preserve">   </w:t>
      </w:r>
      <w:r>
        <w:rPr>
          <w:rFonts w:hint="eastAsia" w:ascii="宋体" w:hAnsi="宋体"/>
          <w:highlight w:val="none"/>
        </w:rPr>
        <w:t>月</w:t>
      </w:r>
      <w:r>
        <w:rPr>
          <w:rFonts w:ascii="宋体" w:hAnsi="宋体"/>
          <w:highlight w:val="none"/>
        </w:rPr>
        <w:t xml:space="preserve">  </w:t>
      </w:r>
      <w:r>
        <w:rPr>
          <w:rFonts w:hint="eastAsia" w:ascii="宋体" w:hAnsi="宋体"/>
          <w:highlight w:val="none"/>
        </w:rPr>
        <w:t>日</w:t>
      </w:r>
    </w:p>
    <w:p>
      <w:pPr>
        <w:spacing w:line="360" w:lineRule="auto"/>
        <w:rPr>
          <w:rFonts w:ascii="宋体" w:hAnsi="宋体"/>
          <w:b/>
          <w:highlight w:val="none"/>
        </w:rPr>
      </w:pPr>
    </w:p>
    <w:p>
      <w:pPr>
        <w:pStyle w:val="14"/>
        <w:tabs>
          <w:tab w:val="left" w:pos="0"/>
        </w:tabs>
        <w:rPr>
          <w:rFonts w:hAnsi="宋体" w:cs="宋体"/>
          <w:b/>
          <w:kern w:val="1"/>
          <w:sz w:val="28"/>
          <w:szCs w:val="28"/>
          <w:highlight w:val="none"/>
        </w:rPr>
      </w:pPr>
    </w:p>
    <w:p>
      <w:pPr>
        <w:rPr>
          <w:rFonts w:hAnsi="宋体" w:cs="宋体"/>
          <w:b/>
          <w:kern w:val="1"/>
          <w:sz w:val="28"/>
          <w:szCs w:val="28"/>
          <w:highlight w:val="none"/>
        </w:rPr>
      </w:pPr>
    </w:p>
    <w:p>
      <w:pPr>
        <w:pStyle w:val="14"/>
        <w:rPr>
          <w:rFonts w:hAnsi="宋体" w:cs="宋体"/>
          <w:b/>
          <w:kern w:val="1"/>
          <w:sz w:val="28"/>
          <w:szCs w:val="28"/>
          <w:highlight w:val="none"/>
        </w:rPr>
      </w:pPr>
    </w:p>
    <w:p>
      <w:pPr>
        <w:rPr>
          <w:rFonts w:hAnsi="宋体" w:cs="宋体"/>
          <w:b/>
          <w:kern w:val="1"/>
          <w:sz w:val="28"/>
          <w:szCs w:val="28"/>
          <w:highlight w:val="none"/>
        </w:rPr>
      </w:pPr>
    </w:p>
    <w:p>
      <w:pPr>
        <w:pStyle w:val="14"/>
        <w:rPr>
          <w:rFonts w:hAnsi="宋体" w:cs="宋体"/>
          <w:b/>
          <w:kern w:val="1"/>
          <w:sz w:val="28"/>
          <w:szCs w:val="28"/>
          <w:highlight w:val="none"/>
        </w:rPr>
      </w:pPr>
    </w:p>
    <w:p>
      <w:pPr>
        <w:rPr>
          <w:rFonts w:hAnsi="宋体" w:cs="宋体"/>
          <w:b/>
          <w:kern w:val="1"/>
          <w:sz w:val="28"/>
          <w:szCs w:val="28"/>
          <w:highlight w:val="none"/>
        </w:rPr>
      </w:pPr>
    </w:p>
    <w:p>
      <w:pPr>
        <w:pStyle w:val="14"/>
        <w:rPr>
          <w:rFonts w:hAnsi="宋体" w:cs="宋体"/>
          <w:b/>
          <w:kern w:val="1"/>
          <w:sz w:val="28"/>
          <w:szCs w:val="28"/>
          <w:highlight w:val="none"/>
        </w:rPr>
      </w:pPr>
    </w:p>
    <w:p>
      <w:pPr>
        <w:rPr>
          <w:rFonts w:hAnsi="宋体" w:cs="宋体"/>
          <w:b/>
          <w:kern w:val="1"/>
          <w:sz w:val="28"/>
          <w:szCs w:val="28"/>
          <w:highlight w:val="none"/>
        </w:rPr>
      </w:pPr>
    </w:p>
    <w:p>
      <w:pPr>
        <w:pStyle w:val="14"/>
        <w:rPr>
          <w:rFonts w:hAnsi="宋体" w:cs="宋体"/>
          <w:b/>
          <w:kern w:val="1"/>
          <w:sz w:val="28"/>
          <w:szCs w:val="28"/>
          <w:highlight w:val="none"/>
        </w:rPr>
      </w:pPr>
    </w:p>
    <w:p>
      <w:pPr>
        <w:rPr>
          <w:rFonts w:hAnsi="宋体" w:cs="宋体"/>
          <w:b/>
          <w:kern w:val="1"/>
          <w:sz w:val="28"/>
          <w:szCs w:val="28"/>
          <w:highlight w:val="none"/>
        </w:rPr>
      </w:pPr>
    </w:p>
    <w:p>
      <w:pPr>
        <w:pStyle w:val="14"/>
        <w:rPr>
          <w:highlight w:val="none"/>
        </w:rPr>
      </w:pPr>
    </w:p>
    <w:p>
      <w:pPr>
        <w:pStyle w:val="14"/>
        <w:numPr>
          <w:ilvl w:val="0"/>
          <w:numId w:val="6"/>
        </w:numPr>
        <w:rPr>
          <w:rFonts w:hAnsi="宋体"/>
          <w:b/>
          <w:bCs/>
          <w:sz w:val="32"/>
          <w:szCs w:val="40"/>
          <w:highlight w:val="none"/>
        </w:rPr>
      </w:pPr>
      <w:r>
        <w:rPr>
          <w:rFonts w:hint="eastAsia" w:hAnsi="宋体"/>
          <w:b/>
          <w:bCs/>
          <w:sz w:val="32"/>
          <w:szCs w:val="40"/>
          <w:highlight w:val="none"/>
          <w:lang w:val="zh-CN"/>
        </w:rPr>
        <w:t>拟投入本项目人员一览表</w:t>
      </w:r>
    </w:p>
    <w:tbl>
      <w:tblPr>
        <w:tblStyle w:val="26"/>
        <w:tblW w:w="9071" w:type="dxa"/>
        <w:jc w:val="center"/>
        <w:tblLayout w:type="autofit"/>
        <w:tblCellMar>
          <w:top w:w="0" w:type="dxa"/>
          <w:left w:w="108" w:type="dxa"/>
          <w:bottom w:w="0" w:type="dxa"/>
          <w:right w:w="108" w:type="dxa"/>
        </w:tblCellMar>
      </w:tblPr>
      <w:tblGrid>
        <w:gridCol w:w="753"/>
        <w:gridCol w:w="1410"/>
        <w:gridCol w:w="1026"/>
        <w:gridCol w:w="1171"/>
        <w:gridCol w:w="1410"/>
        <w:gridCol w:w="1768"/>
        <w:gridCol w:w="1533"/>
      </w:tblGrid>
      <w:tr>
        <w:tblPrEx>
          <w:tblCellMar>
            <w:top w:w="0" w:type="dxa"/>
            <w:left w:w="108" w:type="dxa"/>
            <w:bottom w:w="0" w:type="dxa"/>
            <w:right w:w="108" w:type="dxa"/>
          </w:tblCellMar>
        </w:tblPrEx>
        <w:trPr>
          <w:trHeight w:val="764" w:hRule="atLeast"/>
          <w:jc w:val="center"/>
        </w:trPr>
        <w:tc>
          <w:tcPr>
            <w:tcW w:w="415" w:type="pct"/>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s="宋体"/>
                <w:kern w:val="1"/>
                <w:szCs w:val="21"/>
                <w:highlight w:val="none"/>
              </w:rPr>
            </w:pPr>
            <w:r>
              <w:rPr>
                <w:rFonts w:hint="eastAsia" w:ascii="宋体" w:hAnsi="宋体" w:cs="宋体"/>
                <w:spacing w:val="1"/>
                <w:kern w:val="1"/>
                <w:szCs w:val="21"/>
                <w:highlight w:val="none"/>
                <w:lang w:val="zh-CN"/>
              </w:rPr>
              <w:t>序号</w:t>
            </w:r>
          </w:p>
        </w:tc>
        <w:tc>
          <w:tcPr>
            <w:tcW w:w="777" w:type="pct"/>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s="宋体"/>
                <w:kern w:val="1"/>
                <w:szCs w:val="21"/>
                <w:highlight w:val="none"/>
              </w:rPr>
            </w:pPr>
            <w:r>
              <w:rPr>
                <w:rFonts w:hint="eastAsia" w:ascii="宋体" w:hAnsi="宋体" w:cs="宋体"/>
                <w:spacing w:val="1"/>
                <w:kern w:val="1"/>
                <w:szCs w:val="21"/>
                <w:highlight w:val="none"/>
                <w:lang w:val="zh-CN"/>
              </w:rPr>
              <w:t>姓名</w:t>
            </w:r>
          </w:p>
        </w:tc>
        <w:tc>
          <w:tcPr>
            <w:tcW w:w="565" w:type="pct"/>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s="宋体"/>
                <w:kern w:val="1"/>
                <w:szCs w:val="21"/>
                <w:highlight w:val="none"/>
              </w:rPr>
            </w:pPr>
            <w:r>
              <w:rPr>
                <w:rFonts w:hint="eastAsia" w:ascii="宋体" w:hAnsi="宋体" w:cs="宋体"/>
                <w:spacing w:val="1"/>
                <w:kern w:val="1"/>
                <w:szCs w:val="21"/>
                <w:highlight w:val="none"/>
                <w:lang w:val="zh-CN"/>
              </w:rPr>
              <w:t>性别</w:t>
            </w:r>
          </w:p>
        </w:tc>
        <w:tc>
          <w:tcPr>
            <w:tcW w:w="645" w:type="pct"/>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s="宋体"/>
                <w:kern w:val="1"/>
                <w:szCs w:val="21"/>
                <w:highlight w:val="none"/>
              </w:rPr>
            </w:pPr>
            <w:r>
              <w:rPr>
                <w:rFonts w:hint="eastAsia" w:ascii="宋体" w:hAnsi="宋体" w:cs="宋体"/>
                <w:spacing w:val="1"/>
                <w:kern w:val="1"/>
                <w:szCs w:val="21"/>
                <w:highlight w:val="none"/>
                <w:lang w:val="zh-CN"/>
              </w:rPr>
              <w:t>年龄</w:t>
            </w:r>
          </w:p>
        </w:tc>
        <w:tc>
          <w:tcPr>
            <w:tcW w:w="777" w:type="pct"/>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s="宋体"/>
                <w:kern w:val="1"/>
                <w:szCs w:val="21"/>
                <w:highlight w:val="none"/>
              </w:rPr>
            </w:pPr>
            <w:r>
              <w:rPr>
                <w:rFonts w:hint="eastAsia" w:ascii="宋体" w:hAnsi="宋体" w:cs="宋体"/>
                <w:spacing w:val="1"/>
                <w:kern w:val="1"/>
                <w:szCs w:val="21"/>
                <w:highlight w:val="none"/>
                <w:lang w:val="zh-CN"/>
              </w:rPr>
              <w:t>专业</w:t>
            </w:r>
          </w:p>
        </w:tc>
        <w:tc>
          <w:tcPr>
            <w:tcW w:w="974" w:type="pct"/>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s="宋体"/>
                <w:kern w:val="1"/>
                <w:szCs w:val="21"/>
                <w:highlight w:val="none"/>
              </w:rPr>
            </w:pPr>
            <w:r>
              <w:rPr>
                <w:rFonts w:hint="eastAsia" w:ascii="宋体" w:hAnsi="宋体" w:cs="宋体"/>
                <w:spacing w:val="1"/>
                <w:kern w:val="1"/>
                <w:szCs w:val="21"/>
                <w:highlight w:val="none"/>
                <w:lang w:val="zh-CN"/>
              </w:rPr>
              <w:t>本项目拟任职务</w:t>
            </w:r>
          </w:p>
        </w:tc>
        <w:tc>
          <w:tcPr>
            <w:tcW w:w="844" w:type="pct"/>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s="宋体"/>
                <w:kern w:val="1"/>
                <w:szCs w:val="21"/>
                <w:highlight w:val="none"/>
              </w:rPr>
            </w:pPr>
            <w:r>
              <w:rPr>
                <w:rFonts w:hint="eastAsia" w:ascii="宋体" w:hAnsi="宋体" w:cs="宋体"/>
                <w:spacing w:val="1"/>
                <w:kern w:val="1"/>
                <w:szCs w:val="21"/>
                <w:highlight w:val="none"/>
                <w:lang w:val="zh-CN"/>
              </w:rPr>
              <w:t>备注</w:t>
            </w:r>
          </w:p>
        </w:tc>
      </w:tr>
      <w:tr>
        <w:tblPrEx>
          <w:tblCellMar>
            <w:top w:w="0" w:type="dxa"/>
            <w:left w:w="108" w:type="dxa"/>
            <w:bottom w:w="0" w:type="dxa"/>
            <w:right w:w="108" w:type="dxa"/>
          </w:tblCellMar>
        </w:tblPrEx>
        <w:trPr>
          <w:trHeight w:val="434" w:hRule="atLeast"/>
          <w:jc w:val="center"/>
        </w:trPr>
        <w:tc>
          <w:tcPr>
            <w:tcW w:w="415" w:type="pct"/>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s="宋体"/>
                <w:kern w:val="1"/>
                <w:szCs w:val="21"/>
                <w:highlight w:val="none"/>
              </w:rPr>
            </w:pPr>
            <w:r>
              <w:rPr>
                <w:rFonts w:hint="eastAsia" w:ascii="宋体" w:hAnsi="宋体" w:cs="宋体"/>
                <w:kern w:val="1"/>
                <w:szCs w:val="21"/>
                <w:highlight w:val="none"/>
                <w:lang w:val="zh-CN"/>
              </w:rPr>
              <w:t>1</w:t>
            </w:r>
          </w:p>
        </w:tc>
        <w:tc>
          <w:tcPr>
            <w:tcW w:w="777" w:type="pct"/>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s="宋体"/>
                <w:kern w:val="1"/>
                <w:szCs w:val="21"/>
                <w:highlight w:val="none"/>
              </w:rPr>
            </w:pPr>
          </w:p>
        </w:tc>
        <w:tc>
          <w:tcPr>
            <w:tcW w:w="565" w:type="pct"/>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s="宋体"/>
                <w:kern w:val="1"/>
                <w:szCs w:val="21"/>
                <w:highlight w:val="none"/>
              </w:rPr>
            </w:pPr>
          </w:p>
        </w:tc>
        <w:tc>
          <w:tcPr>
            <w:tcW w:w="645" w:type="pct"/>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s="宋体"/>
                <w:kern w:val="1"/>
                <w:szCs w:val="21"/>
                <w:highlight w:val="none"/>
              </w:rPr>
            </w:pPr>
          </w:p>
        </w:tc>
        <w:tc>
          <w:tcPr>
            <w:tcW w:w="777" w:type="pct"/>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s="宋体"/>
                <w:kern w:val="1"/>
                <w:szCs w:val="21"/>
                <w:highlight w:val="none"/>
              </w:rPr>
            </w:pPr>
          </w:p>
        </w:tc>
        <w:tc>
          <w:tcPr>
            <w:tcW w:w="974" w:type="pct"/>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s="宋体"/>
                <w:kern w:val="1"/>
                <w:szCs w:val="21"/>
                <w:highlight w:val="none"/>
              </w:rPr>
            </w:pPr>
          </w:p>
        </w:tc>
        <w:tc>
          <w:tcPr>
            <w:tcW w:w="844" w:type="pct"/>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s="宋体"/>
                <w:kern w:val="1"/>
                <w:szCs w:val="21"/>
                <w:highlight w:val="none"/>
              </w:rPr>
            </w:pPr>
          </w:p>
        </w:tc>
      </w:tr>
      <w:tr>
        <w:tblPrEx>
          <w:tblCellMar>
            <w:top w:w="0" w:type="dxa"/>
            <w:left w:w="108" w:type="dxa"/>
            <w:bottom w:w="0" w:type="dxa"/>
            <w:right w:w="108" w:type="dxa"/>
          </w:tblCellMar>
        </w:tblPrEx>
        <w:trPr>
          <w:trHeight w:val="453" w:hRule="atLeast"/>
          <w:jc w:val="center"/>
        </w:trPr>
        <w:tc>
          <w:tcPr>
            <w:tcW w:w="415" w:type="pct"/>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s="宋体"/>
                <w:kern w:val="1"/>
                <w:szCs w:val="21"/>
                <w:highlight w:val="none"/>
              </w:rPr>
            </w:pPr>
            <w:r>
              <w:rPr>
                <w:rFonts w:hint="eastAsia" w:ascii="宋体" w:hAnsi="宋体" w:cs="宋体"/>
                <w:kern w:val="1"/>
                <w:szCs w:val="21"/>
                <w:highlight w:val="none"/>
                <w:lang w:val="zh-CN"/>
              </w:rPr>
              <w:t>2</w:t>
            </w:r>
          </w:p>
        </w:tc>
        <w:tc>
          <w:tcPr>
            <w:tcW w:w="777" w:type="pct"/>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s="宋体"/>
                <w:kern w:val="1"/>
                <w:szCs w:val="21"/>
                <w:highlight w:val="none"/>
              </w:rPr>
            </w:pPr>
          </w:p>
        </w:tc>
        <w:tc>
          <w:tcPr>
            <w:tcW w:w="565" w:type="pct"/>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s="宋体"/>
                <w:kern w:val="1"/>
                <w:szCs w:val="21"/>
                <w:highlight w:val="none"/>
              </w:rPr>
            </w:pPr>
          </w:p>
        </w:tc>
        <w:tc>
          <w:tcPr>
            <w:tcW w:w="645" w:type="pct"/>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s="宋体"/>
                <w:kern w:val="1"/>
                <w:szCs w:val="21"/>
                <w:highlight w:val="none"/>
              </w:rPr>
            </w:pPr>
          </w:p>
        </w:tc>
        <w:tc>
          <w:tcPr>
            <w:tcW w:w="777" w:type="pct"/>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s="宋体"/>
                <w:kern w:val="1"/>
                <w:szCs w:val="21"/>
                <w:highlight w:val="none"/>
              </w:rPr>
            </w:pPr>
          </w:p>
        </w:tc>
        <w:tc>
          <w:tcPr>
            <w:tcW w:w="974" w:type="pct"/>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s="宋体"/>
                <w:kern w:val="1"/>
                <w:szCs w:val="21"/>
                <w:highlight w:val="none"/>
              </w:rPr>
            </w:pPr>
          </w:p>
        </w:tc>
        <w:tc>
          <w:tcPr>
            <w:tcW w:w="844" w:type="pct"/>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s="宋体"/>
                <w:kern w:val="1"/>
                <w:szCs w:val="21"/>
                <w:highlight w:val="none"/>
              </w:rPr>
            </w:pPr>
          </w:p>
        </w:tc>
      </w:tr>
      <w:tr>
        <w:tblPrEx>
          <w:tblCellMar>
            <w:top w:w="0" w:type="dxa"/>
            <w:left w:w="108" w:type="dxa"/>
            <w:bottom w:w="0" w:type="dxa"/>
            <w:right w:w="108" w:type="dxa"/>
          </w:tblCellMar>
        </w:tblPrEx>
        <w:trPr>
          <w:trHeight w:val="458" w:hRule="atLeast"/>
          <w:jc w:val="center"/>
        </w:trPr>
        <w:tc>
          <w:tcPr>
            <w:tcW w:w="415" w:type="pct"/>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s="宋体"/>
                <w:kern w:val="1"/>
                <w:szCs w:val="21"/>
                <w:highlight w:val="none"/>
              </w:rPr>
            </w:pPr>
            <w:r>
              <w:rPr>
                <w:rFonts w:hint="eastAsia" w:ascii="宋体" w:hAnsi="宋体" w:cs="宋体"/>
                <w:kern w:val="1"/>
                <w:szCs w:val="21"/>
                <w:highlight w:val="none"/>
                <w:lang w:val="zh-CN"/>
              </w:rPr>
              <w:t>3</w:t>
            </w:r>
          </w:p>
        </w:tc>
        <w:tc>
          <w:tcPr>
            <w:tcW w:w="777" w:type="pct"/>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s="宋体"/>
                <w:kern w:val="1"/>
                <w:szCs w:val="21"/>
                <w:highlight w:val="none"/>
              </w:rPr>
            </w:pPr>
          </w:p>
        </w:tc>
        <w:tc>
          <w:tcPr>
            <w:tcW w:w="565" w:type="pct"/>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s="宋体"/>
                <w:kern w:val="1"/>
                <w:szCs w:val="21"/>
                <w:highlight w:val="none"/>
              </w:rPr>
            </w:pPr>
          </w:p>
        </w:tc>
        <w:tc>
          <w:tcPr>
            <w:tcW w:w="645" w:type="pct"/>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s="宋体"/>
                <w:kern w:val="1"/>
                <w:szCs w:val="21"/>
                <w:highlight w:val="none"/>
              </w:rPr>
            </w:pPr>
          </w:p>
        </w:tc>
        <w:tc>
          <w:tcPr>
            <w:tcW w:w="777" w:type="pct"/>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s="宋体"/>
                <w:kern w:val="1"/>
                <w:szCs w:val="21"/>
                <w:highlight w:val="none"/>
              </w:rPr>
            </w:pPr>
          </w:p>
        </w:tc>
        <w:tc>
          <w:tcPr>
            <w:tcW w:w="974" w:type="pct"/>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s="宋体"/>
                <w:kern w:val="1"/>
                <w:szCs w:val="21"/>
                <w:highlight w:val="none"/>
              </w:rPr>
            </w:pPr>
          </w:p>
        </w:tc>
        <w:tc>
          <w:tcPr>
            <w:tcW w:w="844" w:type="pct"/>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s="宋体"/>
                <w:kern w:val="1"/>
                <w:szCs w:val="21"/>
                <w:highlight w:val="none"/>
              </w:rPr>
            </w:pPr>
          </w:p>
        </w:tc>
      </w:tr>
      <w:tr>
        <w:tblPrEx>
          <w:tblCellMar>
            <w:top w:w="0" w:type="dxa"/>
            <w:left w:w="108" w:type="dxa"/>
            <w:bottom w:w="0" w:type="dxa"/>
            <w:right w:w="108" w:type="dxa"/>
          </w:tblCellMar>
        </w:tblPrEx>
        <w:trPr>
          <w:trHeight w:val="450" w:hRule="atLeast"/>
          <w:jc w:val="center"/>
        </w:trPr>
        <w:tc>
          <w:tcPr>
            <w:tcW w:w="415" w:type="pct"/>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s="宋体"/>
                <w:kern w:val="1"/>
                <w:szCs w:val="21"/>
                <w:highlight w:val="none"/>
              </w:rPr>
            </w:pPr>
            <w:r>
              <w:rPr>
                <w:rFonts w:hint="eastAsia" w:ascii="宋体" w:hAnsi="宋体" w:cs="宋体"/>
                <w:kern w:val="1"/>
                <w:szCs w:val="21"/>
                <w:highlight w:val="none"/>
                <w:lang w:val="zh-CN"/>
              </w:rPr>
              <w:t>4</w:t>
            </w:r>
          </w:p>
        </w:tc>
        <w:tc>
          <w:tcPr>
            <w:tcW w:w="777" w:type="pct"/>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s="宋体"/>
                <w:kern w:val="1"/>
                <w:szCs w:val="21"/>
                <w:highlight w:val="none"/>
              </w:rPr>
            </w:pPr>
          </w:p>
        </w:tc>
        <w:tc>
          <w:tcPr>
            <w:tcW w:w="565" w:type="pct"/>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s="宋体"/>
                <w:kern w:val="1"/>
                <w:szCs w:val="21"/>
                <w:highlight w:val="none"/>
              </w:rPr>
            </w:pPr>
          </w:p>
        </w:tc>
        <w:tc>
          <w:tcPr>
            <w:tcW w:w="645" w:type="pct"/>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s="宋体"/>
                <w:kern w:val="1"/>
                <w:szCs w:val="21"/>
                <w:highlight w:val="none"/>
              </w:rPr>
            </w:pPr>
          </w:p>
        </w:tc>
        <w:tc>
          <w:tcPr>
            <w:tcW w:w="777" w:type="pct"/>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s="宋体"/>
                <w:kern w:val="1"/>
                <w:szCs w:val="21"/>
                <w:highlight w:val="none"/>
              </w:rPr>
            </w:pPr>
          </w:p>
        </w:tc>
        <w:tc>
          <w:tcPr>
            <w:tcW w:w="974" w:type="pct"/>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s="宋体"/>
                <w:kern w:val="1"/>
                <w:szCs w:val="21"/>
                <w:highlight w:val="none"/>
              </w:rPr>
            </w:pPr>
          </w:p>
        </w:tc>
        <w:tc>
          <w:tcPr>
            <w:tcW w:w="844" w:type="pct"/>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s="宋体"/>
                <w:kern w:val="1"/>
                <w:szCs w:val="21"/>
                <w:highlight w:val="none"/>
              </w:rPr>
            </w:pPr>
          </w:p>
        </w:tc>
      </w:tr>
      <w:tr>
        <w:tblPrEx>
          <w:tblCellMar>
            <w:top w:w="0" w:type="dxa"/>
            <w:left w:w="108" w:type="dxa"/>
            <w:bottom w:w="0" w:type="dxa"/>
            <w:right w:w="108" w:type="dxa"/>
          </w:tblCellMar>
        </w:tblPrEx>
        <w:trPr>
          <w:trHeight w:val="442" w:hRule="atLeast"/>
          <w:jc w:val="center"/>
        </w:trPr>
        <w:tc>
          <w:tcPr>
            <w:tcW w:w="415" w:type="pct"/>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s="宋体"/>
                <w:kern w:val="1"/>
                <w:szCs w:val="21"/>
                <w:highlight w:val="none"/>
              </w:rPr>
            </w:pPr>
            <w:r>
              <w:rPr>
                <w:rFonts w:hint="eastAsia" w:ascii="宋体" w:hAnsi="宋体" w:cs="宋体"/>
                <w:kern w:val="1"/>
                <w:szCs w:val="21"/>
                <w:highlight w:val="none"/>
                <w:lang w:val="zh-CN"/>
              </w:rPr>
              <w:t>5</w:t>
            </w:r>
          </w:p>
        </w:tc>
        <w:tc>
          <w:tcPr>
            <w:tcW w:w="777" w:type="pct"/>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s="宋体"/>
                <w:kern w:val="1"/>
                <w:szCs w:val="21"/>
                <w:highlight w:val="none"/>
              </w:rPr>
            </w:pPr>
          </w:p>
        </w:tc>
        <w:tc>
          <w:tcPr>
            <w:tcW w:w="565" w:type="pct"/>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s="宋体"/>
                <w:kern w:val="1"/>
                <w:szCs w:val="21"/>
                <w:highlight w:val="none"/>
              </w:rPr>
            </w:pPr>
          </w:p>
        </w:tc>
        <w:tc>
          <w:tcPr>
            <w:tcW w:w="645" w:type="pct"/>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s="宋体"/>
                <w:kern w:val="1"/>
                <w:szCs w:val="21"/>
                <w:highlight w:val="none"/>
              </w:rPr>
            </w:pPr>
          </w:p>
        </w:tc>
        <w:tc>
          <w:tcPr>
            <w:tcW w:w="777" w:type="pct"/>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s="宋体"/>
                <w:kern w:val="1"/>
                <w:szCs w:val="21"/>
                <w:highlight w:val="none"/>
              </w:rPr>
            </w:pPr>
          </w:p>
        </w:tc>
        <w:tc>
          <w:tcPr>
            <w:tcW w:w="974" w:type="pct"/>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s="宋体"/>
                <w:kern w:val="1"/>
                <w:szCs w:val="21"/>
                <w:highlight w:val="none"/>
              </w:rPr>
            </w:pPr>
          </w:p>
        </w:tc>
        <w:tc>
          <w:tcPr>
            <w:tcW w:w="844" w:type="pct"/>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s="宋体"/>
                <w:kern w:val="1"/>
                <w:szCs w:val="21"/>
                <w:highlight w:val="none"/>
              </w:rPr>
            </w:pPr>
          </w:p>
        </w:tc>
      </w:tr>
    </w:tbl>
    <w:p>
      <w:pPr>
        <w:rPr>
          <w:rFonts w:ascii="宋体" w:hAnsi="宋体" w:cs="宋体"/>
          <w:b/>
          <w:bCs/>
          <w:kern w:val="1"/>
          <w:szCs w:val="21"/>
          <w:highlight w:val="none"/>
        </w:rPr>
      </w:pPr>
      <w:r>
        <w:rPr>
          <w:rFonts w:hint="eastAsia" w:ascii="宋体" w:hAnsi="宋体" w:cs="宋体"/>
          <w:b/>
          <w:bCs/>
          <w:kern w:val="1"/>
          <w:szCs w:val="21"/>
          <w:highlight w:val="none"/>
        </w:rPr>
        <w:t>注：投标人应根据“综合评审表”提供相关资料，并加盖公章。</w:t>
      </w:r>
    </w:p>
    <w:p>
      <w:pPr>
        <w:pStyle w:val="14"/>
        <w:rPr>
          <w:rFonts w:hAnsi="宋体" w:cs="宋体"/>
          <w:b/>
          <w:bCs/>
          <w:kern w:val="1"/>
          <w:szCs w:val="21"/>
          <w:highlight w:val="none"/>
        </w:rPr>
      </w:pPr>
    </w:p>
    <w:p>
      <w:pPr>
        <w:pStyle w:val="14"/>
        <w:rPr>
          <w:rFonts w:hAnsi="宋体" w:cs="宋体"/>
          <w:b/>
          <w:bCs/>
          <w:kern w:val="1"/>
          <w:szCs w:val="21"/>
          <w:highlight w:val="none"/>
        </w:rPr>
      </w:pPr>
    </w:p>
    <w:p>
      <w:pPr>
        <w:pStyle w:val="14"/>
        <w:rPr>
          <w:rFonts w:hAnsi="宋体" w:cs="宋体"/>
          <w:b/>
          <w:bCs/>
          <w:kern w:val="1"/>
          <w:szCs w:val="21"/>
          <w:highlight w:val="none"/>
        </w:rPr>
      </w:pPr>
    </w:p>
    <w:p>
      <w:pPr>
        <w:pStyle w:val="14"/>
        <w:rPr>
          <w:rFonts w:hAnsi="宋体" w:cs="宋体"/>
          <w:b/>
          <w:bCs/>
          <w:kern w:val="1"/>
          <w:szCs w:val="21"/>
          <w:highlight w:val="none"/>
        </w:rPr>
      </w:pPr>
    </w:p>
    <w:p>
      <w:pPr>
        <w:pStyle w:val="14"/>
        <w:rPr>
          <w:rFonts w:hAnsi="宋体" w:cs="宋体"/>
          <w:b/>
          <w:bCs/>
          <w:kern w:val="1"/>
          <w:szCs w:val="21"/>
          <w:highlight w:val="none"/>
        </w:rPr>
      </w:pPr>
    </w:p>
    <w:p>
      <w:pPr>
        <w:pStyle w:val="14"/>
        <w:rPr>
          <w:rFonts w:hAnsi="宋体" w:cs="宋体"/>
          <w:b/>
          <w:bCs/>
          <w:kern w:val="1"/>
          <w:szCs w:val="21"/>
          <w:highlight w:val="none"/>
        </w:rPr>
      </w:pPr>
    </w:p>
    <w:p>
      <w:pPr>
        <w:pStyle w:val="14"/>
        <w:rPr>
          <w:rFonts w:hAnsi="宋体" w:cs="宋体"/>
          <w:b/>
          <w:bCs/>
          <w:kern w:val="1"/>
          <w:szCs w:val="21"/>
          <w:highlight w:val="none"/>
        </w:rPr>
      </w:pPr>
    </w:p>
    <w:p>
      <w:pPr>
        <w:pStyle w:val="14"/>
        <w:rPr>
          <w:rFonts w:hAnsi="宋体" w:cs="宋体"/>
          <w:b/>
          <w:bCs/>
          <w:kern w:val="1"/>
          <w:szCs w:val="21"/>
          <w:highlight w:val="none"/>
        </w:rPr>
      </w:pPr>
    </w:p>
    <w:p>
      <w:pPr>
        <w:pStyle w:val="14"/>
        <w:rPr>
          <w:rFonts w:hAnsi="宋体" w:cs="宋体"/>
          <w:b/>
          <w:bCs/>
          <w:kern w:val="1"/>
          <w:szCs w:val="21"/>
          <w:highlight w:val="none"/>
        </w:rPr>
      </w:pPr>
    </w:p>
    <w:p>
      <w:pPr>
        <w:pStyle w:val="14"/>
        <w:rPr>
          <w:rFonts w:hAnsi="宋体" w:cs="宋体"/>
          <w:b/>
          <w:bCs/>
          <w:kern w:val="1"/>
          <w:szCs w:val="21"/>
          <w:highlight w:val="none"/>
        </w:rPr>
      </w:pPr>
    </w:p>
    <w:p>
      <w:pPr>
        <w:pStyle w:val="14"/>
        <w:rPr>
          <w:rFonts w:hAnsi="宋体" w:cs="宋体"/>
          <w:b/>
          <w:bCs/>
          <w:kern w:val="1"/>
          <w:szCs w:val="21"/>
          <w:highlight w:val="none"/>
        </w:rPr>
      </w:pPr>
    </w:p>
    <w:p>
      <w:pPr>
        <w:pStyle w:val="14"/>
        <w:rPr>
          <w:rFonts w:hAnsi="宋体" w:cs="宋体"/>
          <w:b/>
          <w:bCs/>
          <w:kern w:val="1"/>
          <w:szCs w:val="21"/>
          <w:highlight w:val="none"/>
        </w:rPr>
      </w:pPr>
    </w:p>
    <w:p>
      <w:pPr>
        <w:pStyle w:val="14"/>
        <w:rPr>
          <w:rFonts w:hAnsi="宋体" w:cs="宋体"/>
          <w:b/>
          <w:bCs/>
          <w:kern w:val="1"/>
          <w:szCs w:val="21"/>
          <w:highlight w:val="none"/>
        </w:rPr>
      </w:pPr>
    </w:p>
    <w:p>
      <w:pPr>
        <w:pStyle w:val="14"/>
        <w:rPr>
          <w:rFonts w:hAnsi="宋体" w:cs="宋体"/>
          <w:b/>
          <w:bCs/>
          <w:kern w:val="1"/>
          <w:szCs w:val="21"/>
          <w:highlight w:val="none"/>
        </w:rPr>
      </w:pPr>
    </w:p>
    <w:p>
      <w:pPr>
        <w:pStyle w:val="14"/>
        <w:rPr>
          <w:rFonts w:hAnsi="宋体" w:cs="宋体"/>
          <w:b/>
          <w:bCs/>
          <w:kern w:val="1"/>
          <w:szCs w:val="21"/>
          <w:highlight w:val="none"/>
        </w:rPr>
      </w:pPr>
    </w:p>
    <w:p>
      <w:pPr>
        <w:pStyle w:val="14"/>
        <w:rPr>
          <w:rFonts w:hAnsi="宋体" w:cs="宋体"/>
          <w:b/>
          <w:bCs/>
          <w:kern w:val="1"/>
          <w:szCs w:val="21"/>
          <w:highlight w:val="none"/>
        </w:rPr>
      </w:pPr>
    </w:p>
    <w:p>
      <w:pPr>
        <w:pStyle w:val="14"/>
        <w:rPr>
          <w:rFonts w:hAnsi="宋体" w:cs="宋体"/>
          <w:b/>
          <w:bCs/>
          <w:kern w:val="1"/>
          <w:szCs w:val="21"/>
          <w:highlight w:val="none"/>
        </w:rPr>
      </w:pPr>
    </w:p>
    <w:p>
      <w:pPr>
        <w:pStyle w:val="14"/>
        <w:rPr>
          <w:rFonts w:hAnsi="宋体" w:cs="宋体"/>
          <w:b/>
          <w:bCs/>
          <w:kern w:val="1"/>
          <w:szCs w:val="21"/>
          <w:highlight w:val="none"/>
        </w:rPr>
      </w:pPr>
    </w:p>
    <w:p>
      <w:pPr>
        <w:rPr>
          <w:highlight w:val="none"/>
        </w:rPr>
      </w:pPr>
    </w:p>
    <w:p>
      <w:pPr>
        <w:pStyle w:val="14"/>
        <w:rPr>
          <w:rFonts w:hAnsi="宋体" w:cs="宋体"/>
          <w:b/>
          <w:bCs/>
          <w:kern w:val="1"/>
          <w:szCs w:val="21"/>
          <w:highlight w:val="none"/>
        </w:rPr>
      </w:pPr>
    </w:p>
    <w:p>
      <w:pPr>
        <w:pStyle w:val="14"/>
        <w:rPr>
          <w:rFonts w:hAnsi="宋体" w:cs="宋体"/>
          <w:b/>
          <w:bCs/>
          <w:kern w:val="1"/>
          <w:szCs w:val="21"/>
          <w:highlight w:val="none"/>
        </w:rPr>
      </w:pPr>
    </w:p>
    <w:p>
      <w:pPr>
        <w:pStyle w:val="14"/>
        <w:rPr>
          <w:rFonts w:hAnsi="宋体" w:cs="宋体"/>
          <w:b/>
          <w:bCs/>
          <w:kern w:val="1"/>
          <w:szCs w:val="21"/>
          <w:highlight w:val="none"/>
        </w:rPr>
      </w:pPr>
    </w:p>
    <w:p>
      <w:pPr>
        <w:pStyle w:val="14"/>
        <w:rPr>
          <w:rFonts w:hAnsi="宋体" w:cs="宋体"/>
          <w:b/>
          <w:bCs/>
          <w:kern w:val="1"/>
          <w:szCs w:val="21"/>
          <w:highlight w:val="none"/>
        </w:rPr>
      </w:pPr>
    </w:p>
    <w:p>
      <w:pPr>
        <w:pStyle w:val="14"/>
        <w:rPr>
          <w:rFonts w:hAnsi="宋体" w:cs="宋体"/>
          <w:b/>
          <w:bCs/>
          <w:kern w:val="1"/>
          <w:szCs w:val="21"/>
          <w:highlight w:val="none"/>
        </w:rPr>
      </w:pPr>
    </w:p>
    <w:p>
      <w:pPr>
        <w:pStyle w:val="14"/>
        <w:rPr>
          <w:rFonts w:hAnsi="宋体" w:cs="宋体"/>
          <w:b/>
          <w:bCs/>
          <w:kern w:val="1"/>
          <w:szCs w:val="21"/>
          <w:highlight w:val="none"/>
        </w:rPr>
      </w:pPr>
    </w:p>
    <w:p>
      <w:pPr>
        <w:pStyle w:val="14"/>
        <w:rPr>
          <w:rFonts w:hAnsi="宋体" w:cs="宋体"/>
          <w:b/>
          <w:bCs/>
          <w:kern w:val="1"/>
          <w:szCs w:val="21"/>
          <w:highlight w:val="none"/>
        </w:rPr>
      </w:pPr>
    </w:p>
    <w:p>
      <w:pPr>
        <w:pStyle w:val="14"/>
        <w:rPr>
          <w:rFonts w:hAnsi="宋体" w:cs="宋体"/>
          <w:b/>
          <w:bCs/>
          <w:kern w:val="1"/>
          <w:szCs w:val="21"/>
          <w:highlight w:val="none"/>
        </w:rPr>
      </w:pPr>
    </w:p>
    <w:p>
      <w:pPr>
        <w:pStyle w:val="14"/>
        <w:rPr>
          <w:rFonts w:hAnsi="宋体" w:cs="宋体"/>
          <w:b/>
          <w:bCs/>
          <w:kern w:val="1"/>
          <w:szCs w:val="21"/>
          <w:highlight w:val="none"/>
        </w:rPr>
      </w:pPr>
    </w:p>
    <w:p>
      <w:pPr>
        <w:pStyle w:val="14"/>
        <w:rPr>
          <w:rFonts w:hAnsi="宋体" w:cs="宋体"/>
          <w:b/>
          <w:bCs/>
          <w:kern w:val="1"/>
          <w:szCs w:val="21"/>
          <w:highlight w:val="none"/>
        </w:rPr>
      </w:pPr>
    </w:p>
    <w:p>
      <w:pPr>
        <w:pStyle w:val="14"/>
        <w:rPr>
          <w:rFonts w:hAnsi="宋体" w:cs="宋体"/>
          <w:b/>
          <w:bCs/>
          <w:kern w:val="1"/>
          <w:szCs w:val="21"/>
          <w:highlight w:val="none"/>
        </w:rPr>
      </w:pPr>
    </w:p>
    <w:p>
      <w:pPr>
        <w:pStyle w:val="14"/>
        <w:rPr>
          <w:rFonts w:hAnsi="宋体" w:cs="宋体"/>
          <w:b/>
          <w:bCs/>
          <w:kern w:val="1"/>
          <w:szCs w:val="21"/>
          <w:highlight w:val="none"/>
        </w:rPr>
      </w:pPr>
    </w:p>
    <w:p>
      <w:pPr>
        <w:pStyle w:val="14"/>
        <w:numPr>
          <w:ilvl w:val="0"/>
          <w:numId w:val="6"/>
        </w:numPr>
        <w:rPr>
          <w:rFonts w:hAnsi="宋体"/>
          <w:b/>
          <w:bCs/>
          <w:sz w:val="32"/>
          <w:szCs w:val="40"/>
          <w:highlight w:val="none"/>
          <w:lang w:val="zh-CN"/>
        </w:rPr>
        <w:sectPr>
          <w:pgSz w:w="11906" w:h="16838"/>
          <w:pgMar w:top="1474" w:right="1588" w:bottom="1440" w:left="1588" w:header="851" w:footer="992" w:gutter="0"/>
          <w:cols w:space="720" w:num="1"/>
          <w:docGrid w:type="lines" w:linePitch="312" w:charSpace="0"/>
        </w:sectPr>
      </w:pPr>
      <w:r>
        <w:rPr>
          <w:rFonts w:hint="eastAsia" w:hAnsi="宋体"/>
          <w:b/>
          <w:bCs/>
          <w:sz w:val="32"/>
          <w:szCs w:val="40"/>
          <w:highlight w:val="none"/>
          <w:lang w:val="zh-CN"/>
        </w:rPr>
        <w:t>投标人认为应该提供的其他资料</w:t>
      </w:r>
    </w:p>
    <w:p>
      <w:pPr>
        <w:numPr>
          <w:ilvl w:val="0"/>
          <w:numId w:val="7"/>
        </w:numPr>
        <w:spacing w:line="360" w:lineRule="auto"/>
        <w:jc w:val="center"/>
        <w:outlineLvl w:val="2"/>
        <w:rPr>
          <w:rFonts w:ascii="宋体" w:hAnsi="宋体"/>
          <w:b/>
          <w:bCs/>
          <w:sz w:val="36"/>
          <w:highlight w:val="none"/>
        </w:rPr>
      </w:pPr>
      <w:r>
        <w:rPr>
          <w:rFonts w:hint="eastAsia" w:ascii="宋体" w:hAnsi="宋体"/>
          <w:b/>
          <w:bCs/>
          <w:sz w:val="36"/>
          <w:highlight w:val="none"/>
        </w:rPr>
        <w:t>投标报价文件</w:t>
      </w:r>
    </w:p>
    <w:p>
      <w:pPr>
        <w:pStyle w:val="14"/>
        <w:numPr>
          <w:ilvl w:val="0"/>
          <w:numId w:val="6"/>
        </w:numPr>
        <w:rPr>
          <w:rFonts w:hAnsi="宋体"/>
          <w:b/>
          <w:sz w:val="32"/>
          <w:szCs w:val="40"/>
          <w:highlight w:val="none"/>
        </w:rPr>
      </w:pPr>
      <w:r>
        <w:rPr>
          <w:rFonts w:hint="eastAsia" w:hAnsi="宋体"/>
          <w:b/>
          <w:sz w:val="32"/>
          <w:szCs w:val="40"/>
          <w:highlight w:val="none"/>
        </w:rPr>
        <w:t>投标报价书</w:t>
      </w:r>
    </w:p>
    <w:p>
      <w:pPr>
        <w:spacing w:line="360" w:lineRule="auto"/>
        <w:rPr>
          <w:highlight w:val="none"/>
        </w:rPr>
      </w:pPr>
    </w:p>
    <w:p>
      <w:pPr>
        <w:spacing w:line="360" w:lineRule="auto"/>
        <w:rPr>
          <w:highlight w:val="none"/>
        </w:rPr>
      </w:pPr>
    </w:p>
    <w:p>
      <w:pPr>
        <w:spacing w:line="360" w:lineRule="auto"/>
        <w:jc w:val="center"/>
        <w:rPr>
          <w:rFonts w:ascii="宋体" w:hAnsi="宋体"/>
          <w:b/>
          <w:sz w:val="36"/>
          <w:szCs w:val="36"/>
          <w:highlight w:val="none"/>
        </w:rPr>
      </w:pPr>
      <w:r>
        <w:rPr>
          <w:rFonts w:ascii="宋体" w:hAnsi="宋体"/>
          <w:sz w:val="36"/>
          <w:szCs w:val="36"/>
          <w:highlight w:val="none"/>
          <w:u w:val="single"/>
          <w:lang w:bidi="ar"/>
        </w:rPr>
        <w:t xml:space="preserve">        </w:t>
      </w:r>
      <w:r>
        <w:rPr>
          <w:rFonts w:hint="eastAsia" w:ascii="宋体" w:hAnsi="宋体" w:cs="黑体"/>
          <w:sz w:val="36"/>
          <w:szCs w:val="36"/>
          <w:highlight w:val="none"/>
          <w:lang w:bidi="ar"/>
        </w:rPr>
        <w:t>（招标项目名称）</w:t>
      </w:r>
    </w:p>
    <w:p>
      <w:pPr>
        <w:spacing w:line="360" w:lineRule="auto"/>
        <w:jc w:val="center"/>
        <w:rPr>
          <w:rFonts w:ascii="宋体" w:hAnsi="宋体" w:cs="宋体"/>
          <w:b/>
          <w:sz w:val="30"/>
          <w:szCs w:val="20"/>
          <w:highlight w:val="none"/>
        </w:rPr>
      </w:pPr>
    </w:p>
    <w:p>
      <w:pPr>
        <w:spacing w:line="360" w:lineRule="auto"/>
        <w:jc w:val="center"/>
        <w:rPr>
          <w:rFonts w:ascii="宋体" w:hAnsi="宋体" w:cs="宋体"/>
          <w:b/>
          <w:sz w:val="30"/>
          <w:szCs w:val="20"/>
          <w:highlight w:val="none"/>
        </w:rPr>
      </w:pPr>
    </w:p>
    <w:p>
      <w:pPr>
        <w:spacing w:line="360" w:lineRule="auto"/>
        <w:jc w:val="center"/>
        <w:rPr>
          <w:rFonts w:ascii="宋体" w:hAnsi="宋体" w:cs="宋体"/>
          <w:b/>
          <w:sz w:val="30"/>
          <w:szCs w:val="20"/>
          <w:highlight w:val="none"/>
        </w:rPr>
      </w:pPr>
    </w:p>
    <w:p>
      <w:pPr>
        <w:spacing w:line="360" w:lineRule="auto"/>
        <w:jc w:val="center"/>
        <w:rPr>
          <w:rFonts w:ascii="宋体" w:hAnsi="宋体" w:cs="宋体"/>
          <w:b/>
          <w:sz w:val="30"/>
          <w:szCs w:val="20"/>
          <w:highlight w:val="none"/>
        </w:rPr>
      </w:pPr>
    </w:p>
    <w:p>
      <w:pPr>
        <w:spacing w:line="360" w:lineRule="auto"/>
        <w:jc w:val="center"/>
        <w:rPr>
          <w:b/>
          <w:sz w:val="52"/>
          <w:szCs w:val="20"/>
          <w:highlight w:val="none"/>
        </w:rPr>
      </w:pPr>
      <w:r>
        <w:rPr>
          <w:rFonts w:hint="eastAsia" w:cs="宋体"/>
          <w:b/>
          <w:sz w:val="52"/>
          <w:szCs w:val="20"/>
          <w:highlight w:val="none"/>
          <w:lang w:bidi="ar"/>
        </w:rPr>
        <w:t>投</w:t>
      </w:r>
      <w:r>
        <w:rPr>
          <w:b/>
          <w:sz w:val="52"/>
          <w:szCs w:val="20"/>
          <w:highlight w:val="none"/>
          <w:lang w:bidi="ar"/>
        </w:rPr>
        <w:t xml:space="preserve"> </w:t>
      </w:r>
      <w:r>
        <w:rPr>
          <w:rFonts w:hint="eastAsia" w:cs="宋体"/>
          <w:b/>
          <w:sz w:val="52"/>
          <w:szCs w:val="20"/>
          <w:highlight w:val="none"/>
          <w:lang w:bidi="ar"/>
        </w:rPr>
        <w:t>标</w:t>
      </w:r>
      <w:r>
        <w:rPr>
          <w:b/>
          <w:sz w:val="52"/>
          <w:szCs w:val="20"/>
          <w:highlight w:val="none"/>
          <w:lang w:bidi="ar"/>
        </w:rPr>
        <w:t xml:space="preserve"> </w:t>
      </w:r>
      <w:r>
        <w:rPr>
          <w:rFonts w:hint="eastAsia" w:cs="宋体"/>
          <w:b/>
          <w:sz w:val="52"/>
          <w:szCs w:val="20"/>
          <w:highlight w:val="none"/>
          <w:lang w:bidi="ar"/>
        </w:rPr>
        <w:t>报</w:t>
      </w:r>
      <w:r>
        <w:rPr>
          <w:b/>
          <w:sz w:val="52"/>
          <w:szCs w:val="20"/>
          <w:highlight w:val="none"/>
          <w:lang w:bidi="ar"/>
        </w:rPr>
        <w:t xml:space="preserve"> </w:t>
      </w:r>
      <w:r>
        <w:rPr>
          <w:rFonts w:hint="eastAsia" w:cs="宋体"/>
          <w:b/>
          <w:sz w:val="52"/>
          <w:szCs w:val="20"/>
          <w:highlight w:val="none"/>
          <w:lang w:bidi="ar"/>
        </w:rPr>
        <w:t>价</w:t>
      </w:r>
      <w:r>
        <w:rPr>
          <w:b/>
          <w:sz w:val="52"/>
          <w:szCs w:val="20"/>
          <w:highlight w:val="none"/>
          <w:lang w:bidi="ar"/>
        </w:rPr>
        <w:t xml:space="preserve"> </w:t>
      </w:r>
      <w:r>
        <w:rPr>
          <w:rFonts w:hint="eastAsia" w:cs="宋体"/>
          <w:b/>
          <w:sz w:val="52"/>
          <w:szCs w:val="20"/>
          <w:highlight w:val="none"/>
          <w:lang w:bidi="ar"/>
        </w:rPr>
        <w:t>书</w:t>
      </w:r>
    </w:p>
    <w:p>
      <w:pPr>
        <w:spacing w:line="360" w:lineRule="auto"/>
        <w:jc w:val="center"/>
        <w:rPr>
          <w:rFonts w:ascii="宋体" w:hAnsi="宋体" w:cs="宋体"/>
          <w:b/>
          <w:sz w:val="30"/>
          <w:szCs w:val="20"/>
          <w:highlight w:val="none"/>
        </w:rPr>
      </w:pPr>
    </w:p>
    <w:p>
      <w:pPr>
        <w:spacing w:line="360" w:lineRule="auto"/>
        <w:jc w:val="center"/>
        <w:rPr>
          <w:rFonts w:ascii="宋体" w:hAnsi="宋体" w:cs="宋体"/>
          <w:b/>
          <w:sz w:val="30"/>
          <w:szCs w:val="20"/>
          <w:highlight w:val="none"/>
        </w:rPr>
      </w:pPr>
    </w:p>
    <w:p>
      <w:pPr>
        <w:spacing w:line="360" w:lineRule="auto"/>
        <w:jc w:val="center"/>
        <w:rPr>
          <w:rFonts w:ascii="宋体" w:hAnsi="宋体" w:cs="宋体"/>
          <w:b/>
          <w:sz w:val="30"/>
          <w:szCs w:val="20"/>
          <w:highlight w:val="none"/>
        </w:rPr>
      </w:pPr>
    </w:p>
    <w:p>
      <w:pPr>
        <w:spacing w:line="360" w:lineRule="auto"/>
        <w:jc w:val="center"/>
        <w:rPr>
          <w:rFonts w:ascii="宋体" w:hAnsi="宋体" w:cs="宋体"/>
          <w:b/>
          <w:sz w:val="30"/>
          <w:szCs w:val="20"/>
          <w:highlight w:val="none"/>
        </w:rPr>
      </w:pPr>
    </w:p>
    <w:p>
      <w:pPr>
        <w:spacing w:line="360" w:lineRule="auto"/>
        <w:jc w:val="center"/>
        <w:rPr>
          <w:rFonts w:ascii="宋体" w:hAnsi="宋体" w:cs="宋体"/>
          <w:b/>
          <w:sz w:val="30"/>
          <w:szCs w:val="20"/>
          <w:highlight w:val="none"/>
        </w:rPr>
      </w:pPr>
    </w:p>
    <w:p>
      <w:pPr>
        <w:spacing w:line="360" w:lineRule="auto"/>
        <w:jc w:val="center"/>
        <w:rPr>
          <w:rFonts w:ascii="宋体" w:hAnsi="宋体" w:cs="宋体"/>
          <w:b/>
          <w:sz w:val="30"/>
          <w:szCs w:val="20"/>
          <w:highlight w:val="none"/>
        </w:rPr>
      </w:pPr>
    </w:p>
    <w:p>
      <w:pPr>
        <w:spacing w:line="360" w:lineRule="auto"/>
        <w:rPr>
          <w:b/>
          <w:sz w:val="30"/>
          <w:szCs w:val="20"/>
          <w:highlight w:val="none"/>
        </w:rPr>
      </w:pPr>
    </w:p>
    <w:p>
      <w:pPr>
        <w:spacing w:line="360" w:lineRule="auto"/>
        <w:ind w:firstLine="1968" w:firstLineChars="700"/>
        <w:rPr>
          <w:b/>
          <w:sz w:val="28"/>
          <w:szCs w:val="20"/>
          <w:highlight w:val="none"/>
        </w:rPr>
      </w:pPr>
      <w:r>
        <w:rPr>
          <w:rFonts w:hint="eastAsia" w:cs="宋体"/>
          <w:b/>
          <w:sz w:val="28"/>
          <w:szCs w:val="20"/>
          <w:highlight w:val="none"/>
          <w:lang w:bidi="ar"/>
        </w:rPr>
        <w:t>招标单位：</w:t>
      </w:r>
    </w:p>
    <w:p>
      <w:pPr>
        <w:spacing w:line="360" w:lineRule="auto"/>
        <w:ind w:firstLine="1968" w:firstLineChars="700"/>
        <w:rPr>
          <w:b/>
          <w:sz w:val="28"/>
          <w:szCs w:val="20"/>
          <w:highlight w:val="none"/>
        </w:rPr>
      </w:pPr>
      <w:r>
        <w:rPr>
          <w:rFonts w:hint="eastAsia" w:cs="宋体"/>
          <w:b/>
          <w:sz w:val="28"/>
          <w:szCs w:val="20"/>
          <w:highlight w:val="none"/>
          <w:lang w:bidi="ar"/>
        </w:rPr>
        <w:t>投标人：（公章）</w:t>
      </w:r>
    </w:p>
    <w:p>
      <w:pPr>
        <w:spacing w:line="360" w:lineRule="auto"/>
        <w:jc w:val="center"/>
        <w:rPr>
          <w:rFonts w:cs="宋体"/>
          <w:b/>
          <w:sz w:val="28"/>
          <w:szCs w:val="20"/>
          <w:highlight w:val="none"/>
          <w:lang w:bidi="ar"/>
        </w:rPr>
      </w:pPr>
      <w:r>
        <w:rPr>
          <w:b/>
          <w:sz w:val="28"/>
          <w:szCs w:val="20"/>
          <w:highlight w:val="none"/>
          <w:lang w:bidi="ar"/>
        </w:rPr>
        <w:t xml:space="preserve">   </w:t>
      </w:r>
      <w:r>
        <w:rPr>
          <w:rFonts w:hint="eastAsia" w:cs="宋体"/>
          <w:b/>
          <w:sz w:val="28"/>
          <w:szCs w:val="20"/>
          <w:highlight w:val="none"/>
          <w:lang w:bidi="ar"/>
        </w:rPr>
        <w:t>年</w:t>
      </w:r>
      <w:r>
        <w:rPr>
          <w:b/>
          <w:sz w:val="28"/>
          <w:szCs w:val="20"/>
          <w:highlight w:val="none"/>
          <w:lang w:bidi="ar"/>
        </w:rPr>
        <w:t xml:space="preserve">   </w:t>
      </w:r>
      <w:r>
        <w:rPr>
          <w:rFonts w:hint="eastAsia" w:cs="宋体"/>
          <w:b/>
          <w:sz w:val="28"/>
          <w:szCs w:val="20"/>
          <w:highlight w:val="none"/>
          <w:lang w:bidi="ar"/>
        </w:rPr>
        <w:t>月</w:t>
      </w:r>
      <w:r>
        <w:rPr>
          <w:b/>
          <w:sz w:val="28"/>
          <w:szCs w:val="20"/>
          <w:highlight w:val="none"/>
          <w:lang w:bidi="ar"/>
        </w:rPr>
        <w:t xml:space="preserve">   </w:t>
      </w:r>
      <w:r>
        <w:rPr>
          <w:rFonts w:hint="eastAsia" w:cs="宋体"/>
          <w:b/>
          <w:sz w:val="28"/>
          <w:szCs w:val="20"/>
          <w:highlight w:val="none"/>
          <w:lang w:bidi="ar"/>
        </w:rPr>
        <w:t>日</w:t>
      </w:r>
    </w:p>
    <w:p>
      <w:pPr>
        <w:pStyle w:val="3"/>
        <w:rPr>
          <w:highlight w:val="none"/>
          <w:lang w:bidi="ar"/>
        </w:rPr>
      </w:pPr>
    </w:p>
    <w:p>
      <w:pPr>
        <w:pStyle w:val="3"/>
        <w:rPr>
          <w:highlight w:val="none"/>
          <w:lang w:bidi="ar"/>
        </w:rPr>
        <w:sectPr>
          <w:footerReference r:id="rId10" w:type="default"/>
          <w:pgSz w:w="11906" w:h="16838"/>
          <w:pgMar w:top="1135" w:right="1423" w:bottom="1702" w:left="1702" w:header="720" w:footer="720" w:gutter="0"/>
          <w:cols w:space="720" w:num="1"/>
          <w:docGrid w:linePitch="286" w:charSpace="0"/>
        </w:sectPr>
      </w:pPr>
      <w:r>
        <w:rPr>
          <w:highlight w:val="none"/>
          <w:lang w:bidi="ar"/>
        </w:rPr>
        <w:br w:type="page"/>
      </w:r>
    </w:p>
    <w:p>
      <w:pPr>
        <w:spacing w:line="360" w:lineRule="auto"/>
        <w:jc w:val="center"/>
        <w:rPr>
          <w:b/>
          <w:sz w:val="32"/>
          <w:szCs w:val="20"/>
          <w:highlight w:val="none"/>
        </w:rPr>
      </w:pPr>
      <w:r>
        <w:rPr>
          <w:rFonts w:hint="eastAsia" w:cs="宋体"/>
          <w:b/>
          <w:sz w:val="32"/>
          <w:szCs w:val="20"/>
          <w:highlight w:val="none"/>
          <w:lang w:bidi="ar"/>
        </w:rPr>
        <w:t>分项报价</w:t>
      </w:r>
      <w:r>
        <w:rPr>
          <w:rFonts w:hint="eastAsia"/>
          <w:b/>
          <w:sz w:val="32"/>
          <w:szCs w:val="20"/>
          <w:highlight w:val="none"/>
          <w:lang w:bidi="ar"/>
        </w:rPr>
        <w:t>表</w:t>
      </w:r>
    </w:p>
    <w:p>
      <w:pPr>
        <w:spacing w:line="360" w:lineRule="auto"/>
        <w:jc w:val="center"/>
        <w:rPr>
          <w:rFonts w:hint="eastAsia" w:cs="宋体"/>
          <w:b/>
          <w:sz w:val="32"/>
          <w:szCs w:val="20"/>
          <w:highlight w:val="none"/>
          <w:lang w:eastAsia="zh-CN" w:bidi="ar"/>
        </w:rPr>
        <w:sectPr>
          <w:pgSz w:w="11906" w:h="16838"/>
          <w:pgMar w:top="1474" w:right="1588" w:bottom="1440" w:left="1588" w:header="851" w:footer="992" w:gutter="0"/>
          <w:cols w:space="720" w:num="1"/>
          <w:docGrid w:type="lines" w:linePitch="312" w:charSpace="0"/>
        </w:sectPr>
      </w:pPr>
      <w:r>
        <w:rPr>
          <w:rFonts w:hint="eastAsia" w:cs="宋体"/>
          <w:b/>
          <w:sz w:val="32"/>
          <w:szCs w:val="20"/>
          <w:highlight w:val="none"/>
          <w:lang w:eastAsia="zh-CN" w:bidi="ar"/>
        </w:rPr>
        <w:t>（</w:t>
      </w:r>
      <w:r>
        <w:rPr>
          <w:rFonts w:hint="eastAsia" w:cs="宋体"/>
          <w:b/>
          <w:sz w:val="32"/>
          <w:szCs w:val="20"/>
          <w:highlight w:val="none"/>
          <w:lang w:val="en-US" w:eastAsia="zh-CN" w:bidi="ar"/>
        </w:rPr>
        <w:t>另册</w:t>
      </w:r>
      <w:r>
        <w:rPr>
          <w:rFonts w:hint="eastAsia" w:cs="宋体"/>
          <w:b/>
          <w:sz w:val="32"/>
          <w:szCs w:val="20"/>
          <w:highlight w:val="none"/>
          <w:lang w:eastAsia="zh-CN" w:bidi="ar"/>
        </w:rPr>
        <w:t>）</w:t>
      </w:r>
    </w:p>
    <w:p>
      <w:pPr>
        <w:pStyle w:val="14"/>
        <w:numPr>
          <w:ilvl w:val="0"/>
          <w:numId w:val="6"/>
        </w:numPr>
        <w:rPr>
          <w:rFonts w:hAnsi="宋体"/>
          <w:b/>
          <w:sz w:val="32"/>
          <w:szCs w:val="40"/>
          <w:highlight w:val="none"/>
        </w:rPr>
      </w:pPr>
      <w:r>
        <w:rPr>
          <w:rFonts w:hint="eastAsia" w:hAnsi="宋体"/>
          <w:b/>
          <w:sz w:val="32"/>
          <w:szCs w:val="40"/>
          <w:highlight w:val="none"/>
        </w:rPr>
        <w:t>投标人认为应该提供的其他资料</w:t>
      </w:r>
    </w:p>
    <w:sectPr>
      <w:pgSz w:w="11906" w:h="16838"/>
      <w:pgMar w:top="1474" w:right="1588"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方正仿宋_GBK">
    <w:altName w:val="Malgun Gothic Semilight"/>
    <w:panose1 w:val="00000000000000000000"/>
    <w:charset w:val="86"/>
    <w:family w:val="script"/>
    <w:pitch w:val="default"/>
    <w:sig w:usb0="00000000" w:usb1="00000000" w:usb2="00000010" w:usb3="00000000" w:csb0="003C0041" w:csb1="00000000"/>
  </w:font>
  <w:font w:name="Malgun Gothic Semilight">
    <w:panose1 w:val="020B0502040204020203"/>
    <w:charset w:val="86"/>
    <w:family w:val="auto"/>
    <w:pitch w:val="default"/>
    <w:sig w:usb0="900002AF" w:usb1="01D77CFB" w:usb2="00000012" w:usb3="00000000" w:csb0="203E01BD" w:csb1="D7FF0000"/>
  </w:font>
  <w:font w:name="Tempus Sans ITC">
    <w:panose1 w:val="04020404030D07020202"/>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right" w:y="1"/>
      <w:rPr>
        <w:rStyle w:val="29"/>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ind w:right="360"/>
                            <w:rPr>
                              <w:rStyle w:val="29"/>
                            </w:rPr>
                          </w:pPr>
                          <w:r>
                            <w:fldChar w:fldCharType="begin"/>
                          </w:r>
                          <w:r>
                            <w:rPr>
                              <w:rStyle w:val="29"/>
                            </w:rPr>
                            <w:instrText xml:space="preserve"> PAGE </w:instrText>
                          </w:r>
                          <w:r>
                            <w:fldChar w:fldCharType="separate"/>
                          </w:r>
                          <w:r>
                            <w:rPr>
                              <w:rStyle w:val="29"/>
                            </w:rPr>
                            <w:t>14</w:t>
                          </w:r>
                          <w:r>
                            <w:fldChar w:fldCharType="end"/>
                          </w:r>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liYzMIBAACNAwAADgAAAGRycy9lMm9Eb2MueG1srVPNjtMwEL4j8Q6W&#10;79TZg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JiPXgPDukLBw6SejjlBTMZxSYTRtVF6Df+8l6/4v2v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FJYmMzCAQAAjQMAAA4AAAAAAAAAAQAgAAAAHgEAAGRycy9lMm9Eb2MueG1sUEsF&#10;BgAAAAAGAAYAWQEAAFIFAAAAAA==&#10;">
              <v:fill on="f" focussize="0,0"/>
              <v:stroke on="f"/>
              <v:imagedata o:title=""/>
              <o:lock v:ext="edit" aspectratio="f"/>
              <v:textbox inset="0mm,0mm,0mm,0mm" style="mso-fit-shape-to-text:t;">
                <w:txbxContent>
                  <w:p>
                    <w:pPr>
                      <w:pStyle w:val="18"/>
                      <w:ind w:right="360"/>
                      <w:rPr>
                        <w:rStyle w:val="29"/>
                      </w:rPr>
                    </w:pPr>
                    <w:r>
                      <w:fldChar w:fldCharType="begin"/>
                    </w:r>
                    <w:r>
                      <w:rPr>
                        <w:rStyle w:val="29"/>
                      </w:rPr>
                      <w:instrText xml:space="preserve"> PAGE </w:instrText>
                    </w:r>
                    <w:r>
                      <w:fldChar w:fldCharType="separate"/>
                    </w:r>
                    <w:r>
                      <w:rPr>
                        <w:rStyle w:val="29"/>
                      </w:rPr>
                      <w:t>14</w:t>
                    </w:r>
                    <w:r>
                      <w:fldChar w:fldCharType="end"/>
                    </w:r>
                  </w:p>
                </w:txbxContent>
              </v:textbox>
            </v:shape>
          </w:pict>
        </mc:Fallback>
      </mc:AlternateContent>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right" w:y="1"/>
      <w:rPr>
        <w:rStyle w:val="29"/>
      </w:rPr>
    </w:pPr>
    <w:r>
      <w:fldChar w:fldCharType="begin"/>
    </w:r>
    <w:r>
      <w:rPr>
        <w:rStyle w:val="29"/>
      </w:rPr>
      <w:instrText xml:space="preserve">PAGE  </w:instrText>
    </w:r>
    <w:r>
      <w:fldChar w:fldCharType="end"/>
    </w:r>
  </w:p>
  <w:p>
    <w:pPr>
      <w:pStyle w:val="1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right" w:y="1"/>
      <w:rPr>
        <w:rStyle w:val="29"/>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ind w:right="360"/>
                            <w:rPr>
                              <w:rStyle w:val="29"/>
                            </w:rPr>
                          </w:pPr>
                          <w:r>
                            <w:fldChar w:fldCharType="begin"/>
                          </w:r>
                          <w:r>
                            <w:rPr>
                              <w:rStyle w:val="29"/>
                            </w:rPr>
                            <w:instrText xml:space="preserve"> PAGE </w:instrText>
                          </w:r>
                          <w:r>
                            <w:fldChar w:fldCharType="separate"/>
                          </w:r>
                          <w:r>
                            <w:rPr>
                              <w:rStyle w:val="29"/>
                            </w:rPr>
                            <w:t>19</w:t>
                          </w:r>
                          <w:r>
                            <w:fldChar w:fldCharType="end"/>
                          </w:r>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mj88IBAACNAwAADgAAAGRycy9lMm9Eb2MueG1srVPNjtMwEL4j8Q6W&#10;79TZC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JiPXgPDukLBw6SejjlBTMZxSYTRtVF6Df+8l6/4v2v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5o/PCAQAAjQMAAA4AAAAAAAAAAQAgAAAAHgEAAGRycy9lMm9Eb2MueG1sUEsF&#10;BgAAAAAGAAYAWQEAAFIFAAAAAA==&#10;">
              <v:fill on="f" focussize="0,0"/>
              <v:stroke on="f"/>
              <v:imagedata o:title=""/>
              <o:lock v:ext="edit" aspectratio="f"/>
              <v:textbox inset="0mm,0mm,0mm,0mm" style="mso-fit-shape-to-text:t;">
                <w:txbxContent>
                  <w:p>
                    <w:pPr>
                      <w:pStyle w:val="18"/>
                      <w:ind w:right="360"/>
                      <w:rPr>
                        <w:rStyle w:val="29"/>
                      </w:rPr>
                    </w:pPr>
                    <w:r>
                      <w:fldChar w:fldCharType="begin"/>
                    </w:r>
                    <w:r>
                      <w:rPr>
                        <w:rStyle w:val="29"/>
                      </w:rPr>
                      <w:instrText xml:space="preserve"> PAGE </w:instrText>
                    </w:r>
                    <w:r>
                      <w:fldChar w:fldCharType="separate"/>
                    </w:r>
                    <w:r>
                      <w:rPr>
                        <w:rStyle w:val="29"/>
                      </w:rPr>
                      <w:t>19</w:t>
                    </w:r>
                    <w:r>
                      <w:fldChar w:fldCharType="end"/>
                    </w:r>
                  </w:p>
                </w:txbxContent>
              </v:textbox>
            </v:shape>
          </w:pict>
        </mc:Fallback>
      </mc:AlternateContent>
    </w:r>
  </w:p>
  <w:p>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r>
                            <w:fldChar w:fldCharType="begin"/>
                          </w:r>
                          <w:r>
                            <w:instrText xml:space="preserve"> PAGE  \* MERGEFORMAT </w:instrText>
                          </w:r>
                          <w:r>
                            <w:fldChar w:fldCharType="separate"/>
                          </w:r>
                          <w:r>
                            <w:t>21</w:t>
                          </w:r>
                          <w:r>
                            <w:fldChar w:fldCharType="end"/>
                          </w:r>
                        </w:p>
                      </w:txbxContent>
                    </wps:txbx>
                    <wps:bodyPr wrap="none" lIns="0" tIns="0" rIns="0" bIns="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DbCJwLCAQAAjQMAAA4AAAAAAAAAAQAgAAAAHgEAAGRycy9lMm9Eb2MueG1sUEsF&#10;BgAAAAAGAAYAWQEAAFIFA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6205" cy="139700"/>
              <wp:effectExtent l="0" t="0" r="0" b="0"/>
              <wp:wrapNone/>
              <wp:docPr id="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t>35</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1pt;width:9.15pt;mso-position-horizontal:center;mso-position-horizontal-relative:margin;mso-wrap-style:none;z-index:251660288;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Bi6WFNAAAAADAQAADwAAAAAAAAABACAAAAAiAAAAZHJzL2Rv&#10;d25yZXYueG1sUEsBAhQAFAAAAAgAh07iQCO6mH4JAgAAAgQAAA4AAAAAAAAAAQAgAAAAHwEAAGRy&#10;cy9lMm9Eb2MueG1sUEsFBgAAAAAGAAYAWQEAAJoFAAAAAA==&#10;">
              <v:fill on="f" focussize="0,0"/>
              <v:stroke on="f"/>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35</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6205" cy="139700"/>
              <wp:effectExtent l="0" t="0" r="0" b="0"/>
              <wp:wrapNone/>
              <wp:docPr id="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1pt;width:9.15pt;mso-position-horizontal:center;mso-position-horizontal-relative:margin;mso-wrap-style:none;z-index:251663360;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YulhTQAAAAAwEAAA8AAAAAAAAAAQAgAAAAIgAAAGRycy9k&#10;b3ducmV2LnhtbFBLAQIUABQAAAAIAIdO4kAQKR6+CgIAAAIEAAAOAAAAAAAAAAEAIAAAAB8BAABk&#10;cnMvZTJvRG9jLnhtbFBLBQYAAAAABgAGAFkBAACbBQAAAAA=&#10;">
              <v:fill on="f" focussize="0,0"/>
              <v:stroke on="f"/>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0" w:left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3BD0BF"/>
    <w:multiLevelType w:val="singleLevel"/>
    <w:tmpl w:val="B23BD0BF"/>
    <w:lvl w:ilvl="0" w:tentative="0">
      <w:start w:val="1"/>
      <w:numFmt w:val="chineseCounting"/>
      <w:suff w:val="nothing"/>
      <w:lvlText w:val="%1、"/>
      <w:lvlJc w:val="left"/>
      <w:pPr>
        <w:ind w:left="0" w:firstLine="420"/>
      </w:pPr>
      <w:rPr>
        <w:rFonts w:hint="eastAsia"/>
      </w:rPr>
    </w:lvl>
  </w:abstractNum>
  <w:abstractNum w:abstractNumId="1">
    <w:nsid w:val="BA343F2A"/>
    <w:multiLevelType w:val="singleLevel"/>
    <w:tmpl w:val="BA343F2A"/>
    <w:lvl w:ilvl="0" w:tentative="0">
      <w:start w:val="1"/>
      <w:numFmt w:val="decimal"/>
      <w:suff w:val="nothing"/>
      <w:lvlText w:val="%1、"/>
      <w:lvlJc w:val="left"/>
    </w:lvl>
  </w:abstractNum>
  <w:abstractNum w:abstractNumId="2">
    <w:nsid w:val="D0EB277F"/>
    <w:multiLevelType w:val="singleLevel"/>
    <w:tmpl w:val="D0EB277F"/>
    <w:lvl w:ilvl="0" w:tentative="0">
      <w:start w:val="1"/>
      <w:numFmt w:val="decimal"/>
      <w:lvlText w:val="%1."/>
      <w:lvlJc w:val="left"/>
      <w:pPr>
        <w:tabs>
          <w:tab w:val="left" w:pos="312"/>
        </w:tabs>
      </w:pPr>
    </w:lvl>
  </w:abstractNum>
  <w:abstractNum w:abstractNumId="3">
    <w:nsid w:val="D2E75687"/>
    <w:multiLevelType w:val="singleLevel"/>
    <w:tmpl w:val="D2E75687"/>
    <w:lvl w:ilvl="0" w:tentative="0">
      <w:start w:val="1"/>
      <w:numFmt w:val="decimal"/>
      <w:lvlText w:val="(%1)"/>
      <w:lvlJc w:val="left"/>
      <w:pPr>
        <w:tabs>
          <w:tab w:val="left" w:pos="420"/>
        </w:tabs>
        <w:ind w:left="845" w:hanging="425"/>
      </w:pPr>
      <w:rPr>
        <w:rFonts w:hint="default" w:ascii="宋体" w:hAnsi="宋体" w:eastAsia="宋体" w:cs="宋体"/>
        <w:sz w:val="21"/>
        <w:szCs w:val="21"/>
      </w:rPr>
    </w:lvl>
  </w:abstractNum>
  <w:abstractNum w:abstractNumId="4">
    <w:nsid w:val="E21901F8"/>
    <w:multiLevelType w:val="multilevel"/>
    <w:tmpl w:val="E21901F8"/>
    <w:lvl w:ilvl="0" w:tentative="0">
      <w:start w:val="1"/>
      <w:numFmt w:val="decimal"/>
      <w:lvlText w:val="%1."/>
      <w:lvlJc w:val="left"/>
      <w:pPr>
        <w:tabs>
          <w:tab w:val="left" w:pos="0"/>
        </w:tabs>
        <w:ind w:left="425" w:hanging="425"/>
      </w:pPr>
      <w:rPr>
        <w:rFonts w:hint="default"/>
      </w:rPr>
    </w:lvl>
    <w:lvl w:ilvl="1" w:tentative="0">
      <w:start w:val="1"/>
      <w:numFmt w:val="decimal"/>
      <w:lvlText w:val="%1.%2."/>
      <w:lvlJc w:val="left"/>
      <w:pPr>
        <w:tabs>
          <w:tab w:val="left" w:pos="567"/>
        </w:tabs>
        <w:ind w:left="0" w:firstLine="283"/>
      </w:pPr>
      <w:rPr>
        <w:rFonts w:hint="default" w:ascii="宋体" w:hAnsi="宋体" w:eastAsia="宋体" w:cs="宋体"/>
      </w:rPr>
    </w:lvl>
    <w:lvl w:ilvl="2" w:tentative="0">
      <w:start w:val="1"/>
      <w:numFmt w:val="decimal"/>
      <w:suff w:val="nothing"/>
      <w:lvlText w:val="%1.%2.%3."/>
      <w:lvlJc w:val="left"/>
      <w:pPr>
        <w:ind w:left="0" w:firstLine="567"/>
      </w:pPr>
      <w:rPr>
        <w:rFonts w:hint="default" w:ascii="宋体" w:hAnsi="宋体" w:eastAsia="宋体" w:cs="宋体"/>
      </w:rPr>
    </w:lvl>
    <w:lvl w:ilvl="3" w:tentative="0">
      <w:start w:val="1"/>
      <w:numFmt w:val="decimal"/>
      <w:lvlText w:val="%1.%2.%3.%4."/>
      <w:lvlJc w:val="left"/>
      <w:pPr>
        <w:tabs>
          <w:tab w:val="left" w:pos="0"/>
        </w:tabs>
        <w:ind w:left="850" w:hanging="850"/>
      </w:pPr>
      <w:rPr>
        <w:rFonts w:hint="default"/>
      </w:rPr>
    </w:lvl>
    <w:lvl w:ilvl="4" w:tentative="0">
      <w:start w:val="1"/>
      <w:numFmt w:val="decimal"/>
      <w:lvlText w:val="%1.%2.%3.%4.%5."/>
      <w:lvlJc w:val="left"/>
      <w:pPr>
        <w:tabs>
          <w:tab w:val="left" w:pos="0"/>
        </w:tabs>
        <w:ind w:left="991" w:hanging="991"/>
      </w:pPr>
      <w:rPr>
        <w:rFonts w:hint="default"/>
      </w:rPr>
    </w:lvl>
    <w:lvl w:ilvl="5" w:tentative="0">
      <w:start w:val="1"/>
      <w:numFmt w:val="decimal"/>
      <w:lvlText w:val="%1.%2.%3.%4.%5.%6."/>
      <w:lvlJc w:val="left"/>
      <w:pPr>
        <w:tabs>
          <w:tab w:val="left" w:pos="0"/>
        </w:tabs>
        <w:ind w:left="1134" w:hanging="1134"/>
      </w:pPr>
      <w:rPr>
        <w:rFonts w:hint="default"/>
      </w:rPr>
    </w:lvl>
    <w:lvl w:ilvl="6" w:tentative="0">
      <w:start w:val="1"/>
      <w:numFmt w:val="decimal"/>
      <w:lvlText w:val="%1.%2.%3.%4.%5.%6.%7."/>
      <w:lvlJc w:val="left"/>
      <w:pPr>
        <w:tabs>
          <w:tab w:val="left" w:pos="0"/>
        </w:tabs>
        <w:ind w:left="1275" w:hanging="1275"/>
      </w:pPr>
      <w:rPr>
        <w:rFonts w:hint="default"/>
      </w:rPr>
    </w:lvl>
    <w:lvl w:ilvl="7" w:tentative="0">
      <w:start w:val="1"/>
      <w:numFmt w:val="decimal"/>
      <w:lvlText w:val="%1.%2.%3.%4.%5.%6.%7.%8."/>
      <w:lvlJc w:val="left"/>
      <w:pPr>
        <w:tabs>
          <w:tab w:val="left" w:pos="0"/>
        </w:tabs>
        <w:ind w:left="1418" w:hanging="1418"/>
      </w:pPr>
      <w:rPr>
        <w:rFonts w:hint="default"/>
      </w:rPr>
    </w:lvl>
    <w:lvl w:ilvl="8" w:tentative="0">
      <w:start w:val="1"/>
      <w:numFmt w:val="decimal"/>
      <w:lvlText w:val="%1.%2.%3.%4.%5.%6.%7.%8.%9."/>
      <w:lvlJc w:val="left"/>
      <w:pPr>
        <w:tabs>
          <w:tab w:val="left" w:pos="0"/>
        </w:tabs>
        <w:ind w:left="1558" w:hanging="1558"/>
      </w:pPr>
      <w:rPr>
        <w:rFonts w:hint="default"/>
      </w:rPr>
    </w:lvl>
  </w:abstractNum>
  <w:abstractNum w:abstractNumId="5">
    <w:nsid w:val="EE180CD1"/>
    <w:multiLevelType w:val="singleLevel"/>
    <w:tmpl w:val="EE180CD1"/>
    <w:lvl w:ilvl="0" w:tentative="0">
      <w:start w:val="1"/>
      <w:numFmt w:val="decimal"/>
      <w:suff w:val="nothing"/>
      <w:lvlText w:val="格式%1 "/>
      <w:lvlJc w:val="left"/>
      <w:pPr>
        <w:tabs>
          <w:tab w:val="left" w:pos="0"/>
        </w:tabs>
        <w:ind w:left="0" w:firstLine="0"/>
      </w:pPr>
      <w:rPr>
        <w:rFonts w:hint="default"/>
      </w:rPr>
    </w:lvl>
  </w:abstractNum>
  <w:abstractNum w:abstractNumId="6">
    <w:nsid w:val="3D82EBF3"/>
    <w:multiLevelType w:val="singleLevel"/>
    <w:tmpl w:val="3D82EBF3"/>
    <w:lvl w:ilvl="0" w:tentative="0">
      <w:start w:val="1"/>
      <w:numFmt w:val="decimal"/>
      <w:lvlText w:val="(%1)"/>
      <w:lvlJc w:val="left"/>
      <w:pPr>
        <w:tabs>
          <w:tab w:val="left" w:pos="420"/>
        </w:tabs>
        <w:ind w:left="845" w:hanging="425"/>
      </w:pPr>
      <w:rPr>
        <w:rFonts w:hint="default" w:ascii="宋体" w:hAnsi="宋体" w:eastAsia="宋体" w:cs="宋体"/>
        <w:sz w:val="21"/>
        <w:szCs w:val="21"/>
      </w:rPr>
    </w:lvl>
  </w:abstractNum>
  <w:abstractNum w:abstractNumId="7">
    <w:nsid w:val="488115A4"/>
    <w:multiLevelType w:val="multilevel"/>
    <w:tmpl w:val="488115A4"/>
    <w:lvl w:ilvl="0" w:tentative="0">
      <w:start w:val="1"/>
      <w:numFmt w:val="decimal"/>
      <w:lvlText w:val="%1."/>
      <w:lvlJc w:val="left"/>
      <w:pPr>
        <w:ind w:left="425" w:hanging="425"/>
      </w:pPr>
      <w:rPr>
        <w:rFonts w:hint="default" w:ascii="宋体" w:hAnsi="宋体" w:eastAsia="宋体" w:cs="宋体"/>
        <w:sz w:val="21"/>
        <w:szCs w:val="21"/>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4"/>
  </w:num>
  <w:num w:numId="2">
    <w:abstractNumId w:val="3"/>
  </w:num>
  <w:num w:numId="3">
    <w:abstractNumId w:val="6"/>
  </w:num>
  <w:num w:numId="4">
    <w:abstractNumId w:val="7"/>
  </w:num>
  <w:num w:numId="5">
    <w:abstractNumId w:val="1"/>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61"/>
  <w:doNotShadeFormData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hZDUxM2ZiNmU2OGNkMzhhODhiZWUwY2RiN2IyYmEifQ=="/>
  </w:docVars>
  <w:rsids>
    <w:rsidRoot w:val="00172A27"/>
    <w:rsid w:val="00000FBA"/>
    <w:rsid w:val="00006DA0"/>
    <w:rsid w:val="00010623"/>
    <w:rsid w:val="0001156B"/>
    <w:rsid w:val="00014EEE"/>
    <w:rsid w:val="00015361"/>
    <w:rsid w:val="00015AA7"/>
    <w:rsid w:val="00025BDA"/>
    <w:rsid w:val="00032E5F"/>
    <w:rsid w:val="00037644"/>
    <w:rsid w:val="00041290"/>
    <w:rsid w:val="000426C9"/>
    <w:rsid w:val="000545B6"/>
    <w:rsid w:val="00063D4F"/>
    <w:rsid w:val="00066407"/>
    <w:rsid w:val="00066652"/>
    <w:rsid w:val="00066BED"/>
    <w:rsid w:val="00070189"/>
    <w:rsid w:val="00073147"/>
    <w:rsid w:val="000750C2"/>
    <w:rsid w:val="00075AC5"/>
    <w:rsid w:val="00086218"/>
    <w:rsid w:val="0008781F"/>
    <w:rsid w:val="000918F8"/>
    <w:rsid w:val="0009372D"/>
    <w:rsid w:val="000A0C15"/>
    <w:rsid w:val="000A0E2B"/>
    <w:rsid w:val="000A3F1E"/>
    <w:rsid w:val="000A5603"/>
    <w:rsid w:val="000B3927"/>
    <w:rsid w:val="000B40CE"/>
    <w:rsid w:val="000B73D7"/>
    <w:rsid w:val="000C01BE"/>
    <w:rsid w:val="000C3D1A"/>
    <w:rsid w:val="000C5F03"/>
    <w:rsid w:val="000C7EDE"/>
    <w:rsid w:val="000D102E"/>
    <w:rsid w:val="000D42BC"/>
    <w:rsid w:val="000D78A1"/>
    <w:rsid w:val="000E2EE8"/>
    <w:rsid w:val="000E3072"/>
    <w:rsid w:val="000F4043"/>
    <w:rsid w:val="000F6823"/>
    <w:rsid w:val="000F76FF"/>
    <w:rsid w:val="001007EC"/>
    <w:rsid w:val="001013B6"/>
    <w:rsid w:val="001036FA"/>
    <w:rsid w:val="00104E8A"/>
    <w:rsid w:val="00105134"/>
    <w:rsid w:val="00107A8A"/>
    <w:rsid w:val="00110A7C"/>
    <w:rsid w:val="0011102F"/>
    <w:rsid w:val="00114974"/>
    <w:rsid w:val="00115393"/>
    <w:rsid w:val="0011548D"/>
    <w:rsid w:val="001154FE"/>
    <w:rsid w:val="00124ACA"/>
    <w:rsid w:val="001255F5"/>
    <w:rsid w:val="00125777"/>
    <w:rsid w:val="00133B00"/>
    <w:rsid w:val="0013452E"/>
    <w:rsid w:val="00135399"/>
    <w:rsid w:val="001401E7"/>
    <w:rsid w:val="00141964"/>
    <w:rsid w:val="001432CC"/>
    <w:rsid w:val="00147E1A"/>
    <w:rsid w:val="00147F1C"/>
    <w:rsid w:val="001522FF"/>
    <w:rsid w:val="00153895"/>
    <w:rsid w:val="00155AD0"/>
    <w:rsid w:val="00161380"/>
    <w:rsid w:val="00161541"/>
    <w:rsid w:val="001629D6"/>
    <w:rsid w:val="001645BB"/>
    <w:rsid w:val="00165D8B"/>
    <w:rsid w:val="00167AF4"/>
    <w:rsid w:val="00172A27"/>
    <w:rsid w:val="00180650"/>
    <w:rsid w:val="00181812"/>
    <w:rsid w:val="00186192"/>
    <w:rsid w:val="001919F9"/>
    <w:rsid w:val="001A1D11"/>
    <w:rsid w:val="001A7580"/>
    <w:rsid w:val="001B2A6B"/>
    <w:rsid w:val="001C080B"/>
    <w:rsid w:val="001C3D0C"/>
    <w:rsid w:val="001C6083"/>
    <w:rsid w:val="001C7343"/>
    <w:rsid w:val="001D08C3"/>
    <w:rsid w:val="001D12D7"/>
    <w:rsid w:val="001D334C"/>
    <w:rsid w:val="001D4EE5"/>
    <w:rsid w:val="001D777F"/>
    <w:rsid w:val="001E1CAD"/>
    <w:rsid w:val="001E6CE9"/>
    <w:rsid w:val="001F0873"/>
    <w:rsid w:val="001F277C"/>
    <w:rsid w:val="001F725C"/>
    <w:rsid w:val="001F73FA"/>
    <w:rsid w:val="0020698A"/>
    <w:rsid w:val="00211311"/>
    <w:rsid w:val="00212475"/>
    <w:rsid w:val="002159F5"/>
    <w:rsid w:val="00216D2B"/>
    <w:rsid w:val="00222156"/>
    <w:rsid w:val="00230824"/>
    <w:rsid w:val="00236ACE"/>
    <w:rsid w:val="002377E4"/>
    <w:rsid w:val="00240902"/>
    <w:rsid w:val="00244F21"/>
    <w:rsid w:val="002459F0"/>
    <w:rsid w:val="00255A3E"/>
    <w:rsid w:val="0026298F"/>
    <w:rsid w:val="002665E3"/>
    <w:rsid w:val="00283CB4"/>
    <w:rsid w:val="00284AD4"/>
    <w:rsid w:val="002900AC"/>
    <w:rsid w:val="00291235"/>
    <w:rsid w:val="00294CC8"/>
    <w:rsid w:val="002A30B0"/>
    <w:rsid w:val="002A3133"/>
    <w:rsid w:val="002B1132"/>
    <w:rsid w:val="002B7522"/>
    <w:rsid w:val="002B78C1"/>
    <w:rsid w:val="002C17F1"/>
    <w:rsid w:val="002C4B0D"/>
    <w:rsid w:val="002C6788"/>
    <w:rsid w:val="002D08D4"/>
    <w:rsid w:val="002D182F"/>
    <w:rsid w:val="002D60F2"/>
    <w:rsid w:val="002D7FED"/>
    <w:rsid w:val="002E401C"/>
    <w:rsid w:val="002E7C1F"/>
    <w:rsid w:val="002E7E8D"/>
    <w:rsid w:val="002F0687"/>
    <w:rsid w:val="002F2C74"/>
    <w:rsid w:val="002F40EA"/>
    <w:rsid w:val="002F6762"/>
    <w:rsid w:val="00303E6B"/>
    <w:rsid w:val="00311201"/>
    <w:rsid w:val="003116BA"/>
    <w:rsid w:val="00314DFD"/>
    <w:rsid w:val="0031531F"/>
    <w:rsid w:val="00316E71"/>
    <w:rsid w:val="00320453"/>
    <w:rsid w:val="00320CBD"/>
    <w:rsid w:val="00321A66"/>
    <w:rsid w:val="00323B33"/>
    <w:rsid w:val="003257C4"/>
    <w:rsid w:val="00331189"/>
    <w:rsid w:val="003435E1"/>
    <w:rsid w:val="00344C84"/>
    <w:rsid w:val="00345601"/>
    <w:rsid w:val="00346C89"/>
    <w:rsid w:val="003510FF"/>
    <w:rsid w:val="0035604A"/>
    <w:rsid w:val="00356538"/>
    <w:rsid w:val="00362556"/>
    <w:rsid w:val="0036341A"/>
    <w:rsid w:val="00364BA2"/>
    <w:rsid w:val="003650A6"/>
    <w:rsid w:val="00366F88"/>
    <w:rsid w:val="00371DEF"/>
    <w:rsid w:val="0037230D"/>
    <w:rsid w:val="00372C80"/>
    <w:rsid w:val="00375CEE"/>
    <w:rsid w:val="003761BD"/>
    <w:rsid w:val="003767DC"/>
    <w:rsid w:val="00376D21"/>
    <w:rsid w:val="00376DF3"/>
    <w:rsid w:val="00380B2C"/>
    <w:rsid w:val="00382006"/>
    <w:rsid w:val="00382840"/>
    <w:rsid w:val="00383748"/>
    <w:rsid w:val="00383F07"/>
    <w:rsid w:val="00384CEB"/>
    <w:rsid w:val="00390D8A"/>
    <w:rsid w:val="00390FAE"/>
    <w:rsid w:val="00396592"/>
    <w:rsid w:val="003968AF"/>
    <w:rsid w:val="003A51D3"/>
    <w:rsid w:val="003B5432"/>
    <w:rsid w:val="003C1B19"/>
    <w:rsid w:val="003C1D13"/>
    <w:rsid w:val="003C2C4B"/>
    <w:rsid w:val="003C6453"/>
    <w:rsid w:val="003C68D2"/>
    <w:rsid w:val="003C6F2C"/>
    <w:rsid w:val="003D2D17"/>
    <w:rsid w:val="003E0740"/>
    <w:rsid w:val="003F0059"/>
    <w:rsid w:val="003F1B3C"/>
    <w:rsid w:val="003F2132"/>
    <w:rsid w:val="0040122D"/>
    <w:rsid w:val="004034CC"/>
    <w:rsid w:val="004040E9"/>
    <w:rsid w:val="00407293"/>
    <w:rsid w:val="00410A5D"/>
    <w:rsid w:val="00411625"/>
    <w:rsid w:val="00411D4B"/>
    <w:rsid w:val="00411E32"/>
    <w:rsid w:val="0042260D"/>
    <w:rsid w:val="004366F4"/>
    <w:rsid w:val="0044136B"/>
    <w:rsid w:val="004427C6"/>
    <w:rsid w:val="004437F9"/>
    <w:rsid w:val="00444203"/>
    <w:rsid w:val="00444805"/>
    <w:rsid w:val="00452BA5"/>
    <w:rsid w:val="00454455"/>
    <w:rsid w:val="0045541D"/>
    <w:rsid w:val="00455676"/>
    <w:rsid w:val="0045623F"/>
    <w:rsid w:val="00467C37"/>
    <w:rsid w:val="00473962"/>
    <w:rsid w:val="00474D84"/>
    <w:rsid w:val="004751CB"/>
    <w:rsid w:val="0047598E"/>
    <w:rsid w:val="004779CF"/>
    <w:rsid w:val="00477D05"/>
    <w:rsid w:val="004818C4"/>
    <w:rsid w:val="00481BE0"/>
    <w:rsid w:val="0048295B"/>
    <w:rsid w:val="0049174C"/>
    <w:rsid w:val="00493B5A"/>
    <w:rsid w:val="00495229"/>
    <w:rsid w:val="00496C12"/>
    <w:rsid w:val="004970F6"/>
    <w:rsid w:val="004971AE"/>
    <w:rsid w:val="004A1491"/>
    <w:rsid w:val="004A5F97"/>
    <w:rsid w:val="004A775C"/>
    <w:rsid w:val="004B0949"/>
    <w:rsid w:val="004B6707"/>
    <w:rsid w:val="004C2C67"/>
    <w:rsid w:val="004C3867"/>
    <w:rsid w:val="004D43E9"/>
    <w:rsid w:val="004D74FE"/>
    <w:rsid w:val="004E30AB"/>
    <w:rsid w:val="004E3C43"/>
    <w:rsid w:val="004E6D08"/>
    <w:rsid w:val="004F040E"/>
    <w:rsid w:val="004F0EFB"/>
    <w:rsid w:val="004F15BC"/>
    <w:rsid w:val="004F23BE"/>
    <w:rsid w:val="004F2FDA"/>
    <w:rsid w:val="004F5073"/>
    <w:rsid w:val="004F75FE"/>
    <w:rsid w:val="005002B6"/>
    <w:rsid w:val="005009EA"/>
    <w:rsid w:val="00500E5E"/>
    <w:rsid w:val="00504576"/>
    <w:rsid w:val="00510DD3"/>
    <w:rsid w:val="00512434"/>
    <w:rsid w:val="0051761C"/>
    <w:rsid w:val="00521E83"/>
    <w:rsid w:val="00523607"/>
    <w:rsid w:val="005241D5"/>
    <w:rsid w:val="00535D4C"/>
    <w:rsid w:val="00536894"/>
    <w:rsid w:val="00541186"/>
    <w:rsid w:val="005451AE"/>
    <w:rsid w:val="0055302E"/>
    <w:rsid w:val="00553885"/>
    <w:rsid w:val="005570FD"/>
    <w:rsid w:val="00560EED"/>
    <w:rsid w:val="005710D8"/>
    <w:rsid w:val="00571B9A"/>
    <w:rsid w:val="00574E7A"/>
    <w:rsid w:val="005758C4"/>
    <w:rsid w:val="005777B1"/>
    <w:rsid w:val="0058017D"/>
    <w:rsid w:val="00590AF8"/>
    <w:rsid w:val="005958B8"/>
    <w:rsid w:val="00597AE2"/>
    <w:rsid w:val="005A11E9"/>
    <w:rsid w:val="005A2D4D"/>
    <w:rsid w:val="005A3468"/>
    <w:rsid w:val="005A36BB"/>
    <w:rsid w:val="005A51D9"/>
    <w:rsid w:val="005A6F1D"/>
    <w:rsid w:val="005B4B86"/>
    <w:rsid w:val="005C07DF"/>
    <w:rsid w:val="005D018E"/>
    <w:rsid w:val="005D0AA3"/>
    <w:rsid w:val="005D180F"/>
    <w:rsid w:val="005D2B91"/>
    <w:rsid w:val="005E0348"/>
    <w:rsid w:val="005E4905"/>
    <w:rsid w:val="005F047D"/>
    <w:rsid w:val="005F1E56"/>
    <w:rsid w:val="0060077F"/>
    <w:rsid w:val="00601EA2"/>
    <w:rsid w:val="00604A33"/>
    <w:rsid w:val="00612613"/>
    <w:rsid w:val="00614115"/>
    <w:rsid w:val="00615BD0"/>
    <w:rsid w:val="006165F1"/>
    <w:rsid w:val="00624B6C"/>
    <w:rsid w:val="00624E1F"/>
    <w:rsid w:val="00635B97"/>
    <w:rsid w:val="00636D38"/>
    <w:rsid w:val="00637164"/>
    <w:rsid w:val="006429A3"/>
    <w:rsid w:val="00643A7E"/>
    <w:rsid w:val="00643CE7"/>
    <w:rsid w:val="00645991"/>
    <w:rsid w:val="00651418"/>
    <w:rsid w:val="00651641"/>
    <w:rsid w:val="00652E72"/>
    <w:rsid w:val="00653F68"/>
    <w:rsid w:val="00655208"/>
    <w:rsid w:val="006554A7"/>
    <w:rsid w:val="00656978"/>
    <w:rsid w:val="00657141"/>
    <w:rsid w:val="00665BE5"/>
    <w:rsid w:val="00665CF4"/>
    <w:rsid w:val="00666E0D"/>
    <w:rsid w:val="006716C8"/>
    <w:rsid w:val="006745C8"/>
    <w:rsid w:val="00680571"/>
    <w:rsid w:val="006813DB"/>
    <w:rsid w:val="00683278"/>
    <w:rsid w:val="00690593"/>
    <w:rsid w:val="006A07C6"/>
    <w:rsid w:val="006A3A6F"/>
    <w:rsid w:val="006A48E2"/>
    <w:rsid w:val="006A5DF4"/>
    <w:rsid w:val="006B7EBA"/>
    <w:rsid w:val="006C1FFF"/>
    <w:rsid w:val="006C2807"/>
    <w:rsid w:val="006C46D5"/>
    <w:rsid w:val="006C6FEA"/>
    <w:rsid w:val="006C7ECF"/>
    <w:rsid w:val="006D11C3"/>
    <w:rsid w:val="006D1D41"/>
    <w:rsid w:val="006D1F15"/>
    <w:rsid w:val="006D3741"/>
    <w:rsid w:val="006E34CF"/>
    <w:rsid w:val="006E4E21"/>
    <w:rsid w:val="006E5AAD"/>
    <w:rsid w:val="006E5FDC"/>
    <w:rsid w:val="006E7414"/>
    <w:rsid w:val="006E7643"/>
    <w:rsid w:val="006F363C"/>
    <w:rsid w:val="006F5414"/>
    <w:rsid w:val="006F599A"/>
    <w:rsid w:val="006F7458"/>
    <w:rsid w:val="00700D7C"/>
    <w:rsid w:val="0071122C"/>
    <w:rsid w:val="00713667"/>
    <w:rsid w:val="0072009A"/>
    <w:rsid w:val="007218C1"/>
    <w:rsid w:val="00724843"/>
    <w:rsid w:val="0072709D"/>
    <w:rsid w:val="007270A2"/>
    <w:rsid w:val="0072761D"/>
    <w:rsid w:val="00732B67"/>
    <w:rsid w:val="00742FCA"/>
    <w:rsid w:val="007501E0"/>
    <w:rsid w:val="0075070C"/>
    <w:rsid w:val="00753504"/>
    <w:rsid w:val="00756111"/>
    <w:rsid w:val="00760B49"/>
    <w:rsid w:val="00762071"/>
    <w:rsid w:val="00765BA8"/>
    <w:rsid w:val="007673B3"/>
    <w:rsid w:val="0077210E"/>
    <w:rsid w:val="00772A6E"/>
    <w:rsid w:val="00775293"/>
    <w:rsid w:val="007762FC"/>
    <w:rsid w:val="0078081F"/>
    <w:rsid w:val="00780BCE"/>
    <w:rsid w:val="007850F4"/>
    <w:rsid w:val="007878BC"/>
    <w:rsid w:val="00794583"/>
    <w:rsid w:val="007945D8"/>
    <w:rsid w:val="007A05B6"/>
    <w:rsid w:val="007A0D07"/>
    <w:rsid w:val="007A4824"/>
    <w:rsid w:val="007A4FE6"/>
    <w:rsid w:val="007B2A47"/>
    <w:rsid w:val="007B602E"/>
    <w:rsid w:val="007B7737"/>
    <w:rsid w:val="007C2598"/>
    <w:rsid w:val="007C3FC5"/>
    <w:rsid w:val="007C568C"/>
    <w:rsid w:val="007C6DE9"/>
    <w:rsid w:val="007D2C15"/>
    <w:rsid w:val="007D4DD8"/>
    <w:rsid w:val="007E05B9"/>
    <w:rsid w:val="007E08C7"/>
    <w:rsid w:val="007E0B8E"/>
    <w:rsid w:val="007E0C07"/>
    <w:rsid w:val="007E0E51"/>
    <w:rsid w:val="007E22E7"/>
    <w:rsid w:val="007E367B"/>
    <w:rsid w:val="007E491C"/>
    <w:rsid w:val="007E70AD"/>
    <w:rsid w:val="007F0C3F"/>
    <w:rsid w:val="007F57D2"/>
    <w:rsid w:val="007F6427"/>
    <w:rsid w:val="007F6894"/>
    <w:rsid w:val="007F6F19"/>
    <w:rsid w:val="00807BF1"/>
    <w:rsid w:val="00811D86"/>
    <w:rsid w:val="00811E6C"/>
    <w:rsid w:val="00815025"/>
    <w:rsid w:val="00815EA2"/>
    <w:rsid w:val="00817C4D"/>
    <w:rsid w:val="008204B4"/>
    <w:rsid w:val="00820748"/>
    <w:rsid w:val="00822A04"/>
    <w:rsid w:val="0082318F"/>
    <w:rsid w:val="008261FD"/>
    <w:rsid w:val="008264FA"/>
    <w:rsid w:val="0083128E"/>
    <w:rsid w:val="00837338"/>
    <w:rsid w:val="0084142A"/>
    <w:rsid w:val="008417BF"/>
    <w:rsid w:val="00842AC2"/>
    <w:rsid w:val="00850498"/>
    <w:rsid w:val="00860A0A"/>
    <w:rsid w:val="00863A56"/>
    <w:rsid w:val="00863C3E"/>
    <w:rsid w:val="00866A01"/>
    <w:rsid w:val="00867E19"/>
    <w:rsid w:val="00871E68"/>
    <w:rsid w:val="00881D19"/>
    <w:rsid w:val="008824E3"/>
    <w:rsid w:val="00882A1D"/>
    <w:rsid w:val="00890CED"/>
    <w:rsid w:val="008974CE"/>
    <w:rsid w:val="008A1F6D"/>
    <w:rsid w:val="008A20A2"/>
    <w:rsid w:val="008A43FC"/>
    <w:rsid w:val="008A5DD9"/>
    <w:rsid w:val="008A655A"/>
    <w:rsid w:val="008A72EE"/>
    <w:rsid w:val="008B1D6E"/>
    <w:rsid w:val="008B3104"/>
    <w:rsid w:val="008B3E85"/>
    <w:rsid w:val="008C080E"/>
    <w:rsid w:val="008C17A6"/>
    <w:rsid w:val="008C2E00"/>
    <w:rsid w:val="008C37B9"/>
    <w:rsid w:val="008C416F"/>
    <w:rsid w:val="008C5096"/>
    <w:rsid w:val="008C5717"/>
    <w:rsid w:val="008C607A"/>
    <w:rsid w:val="008C6E52"/>
    <w:rsid w:val="008C7C4F"/>
    <w:rsid w:val="008D0D87"/>
    <w:rsid w:val="008D5542"/>
    <w:rsid w:val="008E3EB4"/>
    <w:rsid w:val="008E3FC0"/>
    <w:rsid w:val="008F6B77"/>
    <w:rsid w:val="008F6D8F"/>
    <w:rsid w:val="008F7DBA"/>
    <w:rsid w:val="00907874"/>
    <w:rsid w:val="009138EE"/>
    <w:rsid w:val="00917D01"/>
    <w:rsid w:val="00921ABA"/>
    <w:rsid w:val="00930AB9"/>
    <w:rsid w:val="00931FD7"/>
    <w:rsid w:val="0093230E"/>
    <w:rsid w:val="009335F4"/>
    <w:rsid w:val="009335FD"/>
    <w:rsid w:val="00935DD7"/>
    <w:rsid w:val="0093724F"/>
    <w:rsid w:val="009406AF"/>
    <w:rsid w:val="00940E43"/>
    <w:rsid w:val="00943C56"/>
    <w:rsid w:val="009479BE"/>
    <w:rsid w:val="00952693"/>
    <w:rsid w:val="00954527"/>
    <w:rsid w:val="00955417"/>
    <w:rsid w:val="009670AE"/>
    <w:rsid w:val="00970232"/>
    <w:rsid w:val="00977C76"/>
    <w:rsid w:val="009813AD"/>
    <w:rsid w:val="00984698"/>
    <w:rsid w:val="009878E0"/>
    <w:rsid w:val="009A177E"/>
    <w:rsid w:val="009A4835"/>
    <w:rsid w:val="009B00DD"/>
    <w:rsid w:val="009B28F1"/>
    <w:rsid w:val="009C0029"/>
    <w:rsid w:val="009C06E0"/>
    <w:rsid w:val="009C112D"/>
    <w:rsid w:val="009C1449"/>
    <w:rsid w:val="009C3F4D"/>
    <w:rsid w:val="009D2FDD"/>
    <w:rsid w:val="009D4DD7"/>
    <w:rsid w:val="009D6B2F"/>
    <w:rsid w:val="009D7916"/>
    <w:rsid w:val="009D791E"/>
    <w:rsid w:val="009E021A"/>
    <w:rsid w:val="009E073E"/>
    <w:rsid w:val="009E0DE7"/>
    <w:rsid w:val="009E61F8"/>
    <w:rsid w:val="009E67AD"/>
    <w:rsid w:val="009F01FD"/>
    <w:rsid w:val="009F2EAB"/>
    <w:rsid w:val="00A0195A"/>
    <w:rsid w:val="00A05119"/>
    <w:rsid w:val="00A0725C"/>
    <w:rsid w:val="00A07473"/>
    <w:rsid w:val="00A07F0B"/>
    <w:rsid w:val="00A07FF7"/>
    <w:rsid w:val="00A10C16"/>
    <w:rsid w:val="00A119DE"/>
    <w:rsid w:val="00A127BA"/>
    <w:rsid w:val="00A255BE"/>
    <w:rsid w:val="00A266D6"/>
    <w:rsid w:val="00A30DA6"/>
    <w:rsid w:val="00A31741"/>
    <w:rsid w:val="00A37072"/>
    <w:rsid w:val="00A45024"/>
    <w:rsid w:val="00A511D4"/>
    <w:rsid w:val="00A51A0C"/>
    <w:rsid w:val="00A60ED0"/>
    <w:rsid w:val="00A6287D"/>
    <w:rsid w:val="00A64184"/>
    <w:rsid w:val="00A64B42"/>
    <w:rsid w:val="00A70486"/>
    <w:rsid w:val="00A73986"/>
    <w:rsid w:val="00A73D53"/>
    <w:rsid w:val="00A74230"/>
    <w:rsid w:val="00A80188"/>
    <w:rsid w:val="00A82031"/>
    <w:rsid w:val="00A834F8"/>
    <w:rsid w:val="00A8374B"/>
    <w:rsid w:val="00A83AF4"/>
    <w:rsid w:val="00A86D34"/>
    <w:rsid w:val="00A971DA"/>
    <w:rsid w:val="00A9728C"/>
    <w:rsid w:val="00A97391"/>
    <w:rsid w:val="00AA0E28"/>
    <w:rsid w:val="00AA1450"/>
    <w:rsid w:val="00AA28B4"/>
    <w:rsid w:val="00AB0148"/>
    <w:rsid w:val="00AB1444"/>
    <w:rsid w:val="00AB2BB8"/>
    <w:rsid w:val="00AB6673"/>
    <w:rsid w:val="00AB7DF8"/>
    <w:rsid w:val="00AC3482"/>
    <w:rsid w:val="00AC4624"/>
    <w:rsid w:val="00AC62A0"/>
    <w:rsid w:val="00AC6947"/>
    <w:rsid w:val="00AD2A7D"/>
    <w:rsid w:val="00AD3930"/>
    <w:rsid w:val="00AD5FAD"/>
    <w:rsid w:val="00AE016E"/>
    <w:rsid w:val="00AE646A"/>
    <w:rsid w:val="00AF3F38"/>
    <w:rsid w:val="00AF6571"/>
    <w:rsid w:val="00B00524"/>
    <w:rsid w:val="00B047E4"/>
    <w:rsid w:val="00B05FBB"/>
    <w:rsid w:val="00B06D93"/>
    <w:rsid w:val="00B076A8"/>
    <w:rsid w:val="00B11188"/>
    <w:rsid w:val="00B15288"/>
    <w:rsid w:val="00B16514"/>
    <w:rsid w:val="00B20599"/>
    <w:rsid w:val="00B23CBE"/>
    <w:rsid w:val="00B2613D"/>
    <w:rsid w:val="00B2666E"/>
    <w:rsid w:val="00B35243"/>
    <w:rsid w:val="00B40268"/>
    <w:rsid w:val="00B403FF"/>
    <w:rsid w:val="00B40857"/>
    <w:rsid w:val="00B40B5E"/>
    <w:rsid w:val="00B424E9"/>
    <w:rsid w:val="00B43047"/>
    <w:rsid w:val="00B43179"/>
    <w:rsid w:val="00B44BAD"/>
    <w:rsid w:val="00B50CB1"/>
    <w:rsid w:val="00B51AB8"/>
    <w:rsid w:val="00B546FC"/>
    <w:rsid w:val="00B5745E"/>
    <w:rsid w:val="00B6209A"/>
    <w:rsid w:val="00B64420"/>
    <w:rsid w:val="00B64714"/>
    <w:rsid w:val="00B66CB0"/>
    <w:rsid w:val="00B66F4C"/>
    <w:rsid w:val="00B73576"/>
    <w:rsid w:val="00B7360C"/>
    <w:rsid w:val="00B73F55"/>
    <w:rsid w:val="00B75673"/>
    <w:rsid w:val="00B81B0D"/>
    <w:rsid w:val="00B823F3"/>
    <w:rsid w:val="00B8473E"/>
    <w:rsid w:val="00B85197"/>
    <w:rsid w:val="00B8545C"/>
    <w:rsid w:val="00B95F51"/>
    <w:rsid w:val="00BA1753"/>
    <w:rsid w:val="00BA3B3A"/>
    <w:rsid w:val="00BA54A1"/>
    <w:rsid w:val="00BA6D4D"/>
    <w:rsid w:val="00BB3718"/>
    <w:rsid w:val="00BB3CA2"/>
    <w:rsid w:val="00BB70BE"/>
    <w:rsid w:val="00BB7806"/>
    <w:rsid w:val="00BC058B"/>
    <w:rsid w:val="00BC3590"/>
    <w:rsid w:val="00BC68EC"/>
    <w:rsid w:val="00BD12EE"/>
    <w:rsid w:val="00BD155A"/>
    <w:rsid w:val="00BD2FEF"/>
    <w:rsid w:val="00BD3184"/>
    <w:rsid w:val="00BD579B"/>
    <w:rsid w:val="00BD5FA4"/>
    <w:rsid w:val="00BD6C5B"/>
    <w:rsid w:val="00BE14A9"/>
    <w:rsid w:val="00BE29CD"/>
    <w:rsid w:val="00BF4566"/>
    <w:rsid w:val="00BF6A40"/>
    <w:rsid w:val="00C01E70"/>
    <w:rsid w:val="00C05488"/>
    <w:rsid w:val="00C126DA"/>
    <w:rsid w:val="00C15A9E"/>
    <w:rsid w:val="00C1644C"/>
    <w:rsid w:val="00C16B48"/>
    <w:rsid w:val="00C24E45"/>
    <w:rsid w:val="00C250AF"/>
    <w:rsid w:val="00C33920"/>
    <w:rsid w:val="00C42794"/>
    <w:rsid w:val="00C44F1A"/>
    <w:rsid w:val="00C45546"/>
    <w:rsid w:val="00C45B2A"/>
    <w:rsid w:val="00C517B4"/>
    <w:rsid w:val="00C53D86"/>
    <w:rsid w:val="00C57621"/>
    <w:rsid w:val="00C63ABD"/>
    <w:rsid w:val="00C65CF1"/>
    <w:rsid w:val="00C66ACC"/>
    <w:rsid w:val="00C71236"/>
    <w:rsid w:val="00C73064"/>
    <w:rsid w:val="00C73E41"/>
    <w:rsid w:val="00C75DB8"/>
    <w:rsid w:val="00C7604C"/>
    <w:rsid w:val="00C77DC5"/>
    <w:rsid w:val="00C81331"/>
    <w:rsid w:val="00C8384C"/>
    <w:rsid w:val="00C83C2A"/>
    <w:rsid w:val="00C91C2A"/>
    <w:rsid w:val="00C92F3E"/>
    <w:rsid w:val="00C937B2"/>
    <w:rsid w:val="00C94358"/>
    <w:rsid w:val="00C94F77"/>
    <w:rsid w:val="00C9714B"/>
    <w:rsid w:val="00CA0BB6"/>
    <w:rsid w:val="00CA317E"/>
    <w:rsid w:val="00CA53D9"/>
    <w:rsid w:val="00CA542F"/>
    <w:rsid w:val="00CA6A93"/>
    <w:rsid w:val="00CA6E52"/>
    <w:rsid w:val="00CB47EE"/>
    <w:rsid w:val="00CC14CF"/>
    <w:rsid w:val="00CC2B2B"/>
    <w:rsid w:val="00CD3B7B"/>
    <w:rsid w:val="00CD5077"/>
    <w:rsid w:val="00CD757A"/>
    <w:rsid w:val="00CE014E"/>
    <w:rsid w:val="00CE6BD1"/>
    <w:rsid w:val="00CF0DB7"/>
    <w:rsid w:val="00CF0FBE"/>
    <w:rsid w:val="00CF1E56"/>
    <w:rsid w:val="00CF25D8"/>
    <w:rsid w:val="00CF3BFB"/>
    <w:rsid w:val="00CF3C28"/>
    <w:rsid w:val="00CF6F37"/>
    <w:rsid w:val="00CF7562"/>
    <w:rsid w:val="00D01999"/>
    <w:rsid w:val="00D02154"/>
    <w:rsid w:val="00D04B2A"/>
    <w:rsid w:val="00D04BC2"/>
    <w:rsid w:val="00D05535"/>
    <w:rsid w:val="00D06FCD"/>
    <w:rsid w:val="00D127A3"/>
    <w:rsid w:val="00D140D3"/>
    <w:rsid w:val="00D14AF2"/>
    <w:rsid w:val="00D17018"/>
    <w:rsid w:val="00D22307"/>
    <w:rsid w:val="00D22E24"/>
    <w:rsid w:val="00D23440"/>
    <w:rsid w:val="00D243BB"/>
    <w:rsid w:val="00D2596C"/>
    <w:rsid w:val="00D2781E"/>
    <w:rsid w:val="00D31939"/>
    <w:rsid w:val="00D3244C"/>
    <w:rsid w:val="00D34F13"/>
    <w:rsid w:val="00D44156"/>
    <w:rsid w:val="00D453CA"/>
    <w:rsid w:val="00D462B0"/>
    <w:rsid w:val="00D4741A"/>
    <w:rsid w:val="00D47CEF"/>
    <w:rsid w:val="00D515E2"/>
    <w:rsid w:val="00D61568"/>
    <w:rsid w:val="00D62E7B"/>
    <w:rsid w:val="00D632A8"/>
    <w:rsid w:val="00D64569"/>
    <w:rsid w:val="00D671DA"/>
    <w:rsid w:val="00D71E0B"/>
    <w:rsid w:val="00D72131"/>
    <w:rsid w:val="00D72519"/>
    <w:rsid w:val="00D72FD4"/>
    <w:rsid w:val="00D7710F"/>
    <w:rsid w:val="00D826BE"/>
    <w:rsid w:val="00D83202"/>
    <w:rsid w:val="00D86DAF"/>
    <w:rsid w:val="00D9007D"/>
    <w:rsid w:val="00D92F90"/>
    <w:rsid w:val="00D95352"/>
    <w:rsid w:val="00D9601E"/>
    <w:rsid w:val="00DA2B53"/>
    <w:rsid w:val="00DA5064"/>
    <w:rsid w:val="00DA67D1"/>
    <w:rsid w:val="00DB203C"/>
    <w:rsid w:val="00DC096E"/>
    <w:rsid w:val="00DC2E76"/>
    <w:rsid w:val="00DD2E68"/>
    <w:rsid w:val="00DD69A2"/>
    <w:rsid w:val="00DE2133"/>
    <w:rsid w:val="00DE3384"/>
    <w:rsid w:val="00DE5FB9"/>
    <w:rsid w:val="00DF1E6C"/>
    <w:rsid w:val="00DF51E3"/>
    <w:rsid w:val="00E05536"/>
    <w:rsid w:val="00E05FE3"/>
    <w:rsid w:val="00E07DD8"/>
    <w:rsid w:val="00E10908"/>
    <w:rsid w:val="00E14193"/>
    <w:rsid w:val="00E22131"/>
    <w:rsid w:val="00E23F5D"/>
    <w:rsid w:val="00E25ED7"/>
    <w:rsid w:val="00E273D8"/>
    <w:rsid w:val="00E36654"/>
    <w:rsid w:val="00E3682F"/>
    <w:rsid w:val="00E37871"/>
    <w:rsid w:val="00E37F5D"/>
    <w:rsid w:val="00E41009"/>
    <w:rsid w:val="00E41A09"/>
    <w:rsid w:val="00E41CFF"/>
    <w:rsid w:val="00E44CE3"/>
    <w:rsid w:val="00E4683C"/>
    <w:rsid w:val="00E53DFD"/>
    <w:rsid w:val="00E553F7"/>
    <w:rsid w:val="00E71865"/>
    <w:rsid w:val="00E72DE1"/>
    <w:rsid w:val="00E72F1E"/>
    <w:rsid w:val="00E752E3"/>
    <w:rsid w:val="00E80373"/>
    <w:rsid w:val="00E80D4A"/>
    <w:rsid w:val="00E85D3F"/>
    <w:rsid w:val="00E87463"/>
    <w:rsid w:val="00E901D6"/>
    <w:rsid w:val="00E92184"/>
    <w:rsid w:val="00E93B7F"/>
    <w:rsid w:val="00E9566D"/>
    <w:rsid w:val="00E970B0"/>
    <w:rsid w:val="00EA6500"/>
    <w:rsid w:val="00EA7BFB"/>
    <w:rsid w:val="00EB701A"/>
    <w:rsid w:val="00EB77D1"/>
    <w:rsid w:val="00EC21D8"/>
    <w:rsid w:val="00EC274B"/>
    <w:rsid w:val="00EC3CDD"/>
    <w:rsid w:val="00EC5486"/>
    <w:rsid w:val="00EC57EC"/>
    <w:rsid w:val="00ED06E5"/>
    <w:rsid w:val="00ED25F7"/>
    <w:rsid w:val="00ED557B"/>
    <w:rsid w:val="00EE1C8E"/>
    <w:rsid w:val="00EE30C7"/>
    <w:rsid w:val="00EE4AAE"/>
    <w:rsid w:val="00EE71D8"/>
    <w:rsid w:val="00EF1D03"/>
    <w:rsid w:val="00EF1F12"/>
    <w:rsid w:val="00EF585C"/>
    <w:rsid w:val="00EF656D"/>
    <w:rsid w:val="00F004D6"/>
    <w:rsid w:val="00F01F5C"/>
    <w:rsid w:val="00F05DA2"/>
    <w:rsid w:val="00F064D5"/>
    <w:rsid w:val="00F10A28"/>
    <w:rsid w:val="00F14E1D"/>
    <w:rsid w:val="00F17165"/>
    <w:rsid w:val="00F239C9"/>
    <w:rsid w:val="00F2565B"/>
    <w:rsid w:val="00F31984"/>
    <w:rsid w:val="00F33458"/>
    <w:rsid w:val="00F35149"/>
    <w:rsid w:val="00F428B3"/>
    <w:rsid w:val="00F431E5"/>
    <w:rsid w:val="00F51046"/>
    <w:rsid w:val="00F60035"/>
    <w:rsid w:val="00F7012B"/>
    <w:rsid w:val="00F713C0"/>
    <w:rsid w:val="00F7267E"/>
    <w:rsid w:val="00F72EA8"/>
    <w:rsid w:val="00F74671"/>
    <w:rsid w:val="00F76087"/>
    <w:rsid w:val="00F90EF3"/>
    <w:rsid w:val="00FA0D0C"/>
    <w:rsid w:val="00FA62B3"/>
    <w:rsid w:val="00FA6A64"/>
    <w:rsid w:val="00FA7493"/>
    <w:rsid w:val="00FB2723"/>
    <w:rsid w:val="00FB2B3E"/>
    <w:rsid w:val="00FC3A32"/>
    <w:rsid w:val="00FC60E3"/>
    <w:rsid w:val="00FD1A91"/>
    <w:rsid w:val="00FD3F67"/>
    <w:rsid w:val="00FD4E09"/>
    <w:rsid w:val="00FE07C1"/>
    <w:rsid w:val="00FE09EE"/>
    <w:rsid w:val="00FE190F"/>
    <w:rsid w:val="00FE38C0"/>
    <w:rsid w:val="00FE704A"/>
    <w:rsid w:val="00FF1534"/>
    <w:rsid w:val="00FF1A3C"/>
    <w:rsid w:val="00FF3F2D"/>
    <w:rsid w:val="00FF7CBC"/>
    <w:rsid w:val="012A4576"/>
    <w:rsid w:val="065269A5"/>
    <w:rsid w:val="0832633F"/>
    <w:rsid w:val="0A77693E"/>
    <w:rsid w:val="0A9649A9"/>
    <w:rsid w:val="0DEF5EA9"/>
    <w:rsid w:val="0EB20F89"/>
    <w:rsid w:val="10F82348"/>
    <w:rsid w:val="119D1E2C"/>
    <w:rsid w:val="15843005"/>
    <w:rsid w:val="188279A9"/>
    <w:rsid w:val="19A65ABF"/>
    <w:rsid w:val="1A610C4D"/>
    <w:rsid w:val="1D7041AF"/>
    <w:rsid w:val="1DE96A05"/>
    <w:rsid w:val="1E521BC2"/>
    <w:rsid w:val="1FF11261"/>
    <w:rsid w:val="227C58F8"/>
    <w:rsid w:val="263E5A0F"/>
    <w:rsid w:val="26A16283"/>
    <w:rsid w:val="276A1120"/>
    <w:rsid w:val="28436C89"/>
    <w:rsid w:val="28467338"/>
    <w:rsid w:val="298C7B83"/>
    <w:rsid w:val="2B8D32D8"/>
    <w:rsid w:val="2FEE1A9A"/>
    <w:rsid w:val="311961A0"/>
    <w:rsid w:val="32035D70"/>
    <w:rsid w:val="33072A55"/>
    <w:rsid w:val="3367227D"/>
    <w:rsid w:val="355F5BD4"/>
    <w:rsid w:val="37BE184F"/>
    <w:rsid w:val="3AD43138"/>
    <w:rsid w:val="3D172AAC"/>
    <w:rsid w:val="3E48069F"/>
    <w:rsid w:val="3E5B2D01"/>
    <w:rsid w:val="3FAC724A"/>
    <w:rsid w:val="3FCA4CA0"/>
    <w:rsid w:val="47D856AB"/>
    <w:rsid w:val="4D28420A"/>
    <w:rsid w:val="4D882B47"/>
    <w:rsid w:val="4FD01938"/>
    <w:rsid w:val="505E47C2"/>
    <w:rsid w:val="50B20D89"/>
    <w:rsid w:val="544869E5"/>
    <w:rsid w:val="54FA132F"/>
    <w:rsid w:val="58A8274A"/>
    <w:rsid w:val="5AEB1850"/>
    <w:rsid w:val="5C4F6BBC"/>
    <w:rsid w:val="5CCD3931"/>
    <w:rsid w:val="5D224596"/>
    <w:rsid w:val="5D9B0CD7"/>
    <w:rsid w:val="62AF3496"/>
    <w:rsid w:val="669F0ABB"/>
    <w:rsid w:val="67B122D0"/>
    <w:rsid w:val="6B134473"/>
    <w:rsid w:val="6B474E08"/>
    <w:rsid w:val="6B4C6371"/>
    <w:rsid w:val="6BF30DC0"/>
    <w:rsid w:val="6C520C12"/>
    <w:rsid w:val="6CEA21C3"/>
    <w:rsid w:val="6EA64AE1"/>
    <w:rsid w:val="73323997"/>
    <w:rsid w:val="744F76B8"/>
    <w:rsid w:val="756D4CFE"/>
    <w:rsid w:val="771241D7"/>
    <w:rsid w:val="7A571DBE"/>
    <w:rsid w:val="7B337565"/>
    <w:rsid w:val="7D8C2E23"/>
    <w:rsid w:val="7DD8113B"/>
    <w:rsid w:val="7DE66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33"/>
    <w:qFormat/>
    <w:uiPriority w:val="0"/>
    <w:pPr>
      <w:keepNext/>
      <w:keepLines/>
      <w:spacing w:before="340" w:after="330" w:line="578" w:lineRule="auto"/>
      <w:outlineLvl w:val="0"/>
    </w:pPr>
    <w:rPr>
      <w:b/>
      <w:kern w:val="44"/>
      <w:sz w:val="44"/>
      <w:szCs w:val="20"/>
    </w:rPr>
  </w:style>
  <w:style w:type="paragraph" w:styleId="7">
    <w:name w:val="heading 2"/>
    <w:basedOn w:val="1"/>
    <w:next w:val="1"/>
    <w:qFormat/>
    <w:uiPriority w:val="0"/>
    <w:pPr>
      <w:keepNext/>
      <w:keepLines/>
      <w:spacing w:before="260" w:after="260" w:line="416" w:lineRule="auto"/>
      <w:outlineLvl w:val="1"/>
    </w:pPr>
    <w:rPr>
      <w:rFonts w:ascii="Arial" w:hAnsi="Arial" w:eastAsia="黑体"/>
      <w:b/>
      <w:sz w:val="32"/>
      <w:szCs w:val="20"/>
    </w:rPr>
  </w:style>
  <w:style w:type="paragraph" w:styleId="8">
    <w:name w:val="heading 3"/>
    <w:basedOn w:val="1"/>
    <w:next w:val="1"/>
    <w:qFormat/>
    <w:uiPriority w:val="0"/>
    <w:pPr>
      <w:keepNext/>
      <w:keepLines/>
      <w:spacing w:before="260" w:after="260" w:line="416" w:lineRule="auto"/>
      <w:outlineLvl w:val="2"/>
    </w:pPr>
    <w:rPr>
      <w:b/>
      <w:sz w:val="32"/>
      <w:szCs w:val="20"/>
    </w:rPr>
  </w:style>
  <w:style w:type="paragraph" w:styleId="9">
    <w:name w:val="heading 4"/>
    <w:basedOn w:val="1"/>
    <w:next w:val="10"/>
    <w:qFormat/>
    <w:uiPriority w:val="0"/>
    <w:pPr>
      <w:keepNext/>
      <w:spacing w:line="480" w:lineRule="atLeast"/>
      <w:jc w:val="center"/>
      <w:outlineLvl w:val="3"/>
    </w:pPr>
    <w:rPr>
      <w:rFonts w:ascii="楷体_GB2312" w:eastAsia="楷体_GB2312"/>
      <w:sz w:val="30"/>
      <w:szCs w:val="20"/>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5"/>
    <w:qFormat/>
    <w:uiPriority w:val="0"/>
    <w:pPr>
      <w:spacing w:line="312" w:lineRule="auto"/>
      <w:ind w:firstLine="420"/>
    </w:pPr>
  </w:style>
  <w:style w:type="paragraph" w:styleId="3">
    <w:name w:val="Body Text"/>
    <w:basedOn w:val="1"/>
    <w:next w:val="4"/>
    <w:qFormat/>
    <w:uiPriority w:val="0"/>
    <w:pPr>
      <w:spacing w:line="360" w:lineRule="auto"/>
    </w:pPr>
    <w:rPr>
      <w:rFonts w:ascii="隶书" w:hAnsi="宋体" w:eastAsia="隶书"/>
      <w:b/>
      <w:bCs/>
      <w:szCs w:val="20"/>
    </w:rPr>
  </w:style>
  <w:style w:type="paragraph" w:styleId="4">
    <w:name w:val="Body Text Indent"/>
    <w:basedOn w:val="1"/>
    <w:qFormat/>
    <w:uiPriority w:val="0"/>
    <w:pPr>
      <w:ind w:left="851"/>
    </w:pPr>
    <w:rPr>
      <w:sz w:val="28"/>
      <w:szCs w:val="20"/>
    </w:rPr>
  </w:style>
  <w:style w:type="paragraph" w:styleId="5">
    <w:name w:val="Body Text First Indent 2"/>
    <w:basedOn w:val="4"/>
    <w:unhideWhenUsed/>
    <w:qFormat/>
    <w:uiPriority w:val="99"/>
    <w:pPr>
      <w:ind w:firstLine="420" w:firstLineChars="200"/>
    </w:pPr>
    <w:rPr>
      <w:sz w:val="21"/>
    </w:rPr>
  </w:style>
  <w:style w:type="paragraph" w:styleId="10">
    <w:name w:val="Normal Indent"/>
    <w:basedOn w:val="1"/>
    <w:qFormat/>
    <w:uiPriority w:val="0"/>
    <w:pPr>
      <w:ind w:firstLine="420"/>
    </w:pPr>
    <w:rPr>
      <w:szCs w:val="20"/>
    </w:rPr>
  </w:style>
  <w:style w:type="paragraph" w:styleId="11">
    <w:name w:val="toc 7"/>
    <w:basedOn w:val="1"/>
    <w:next w:val="1"/>
    <w:qFormat/>
    <w:uiPriority w:val="39"/>
    <w:pPr>
      <w:adjustRightInd w:val="0"/>
      <w:spacing w:line="312" w:lineRule="atLeast"/>
      <w:ind w:left="2520" w:leftChars="1200"/>
      <w:textAlignment w:val="baseline"/>
    </w:pPr>
    <w:rPr>
      <w:kern w:val="0"/>
      <w:szCs w:val="20"/>
    </w:rPr>
  </w:style>
  <w:style w:type="paragraph" w:styleId="12">
    <w:name w:val="annotation text"/>
    <w:basedOn w:val="1"/>
    <w:link w:val="34"/>
    <w:qFormat/>
    <w:uiPriority w:val="0"/>
    <w:pPr>
      <w:jc w:val="left"/>
    </w:pPr>
  </w:style>
  <w:style w:type="paragraph" w:styleId="13">
    <w:name w:val="toc 3"/>
    <w:basedOn w:val="1"/>
    <w:next w:val="1"/>
    <w:qFormat/>
    <w:uiPriority w:val="0"/>
    <w:pPr>
      <w:ind w:left="840" w:leftChars="400"/>
    </w:pPr>
  </w:style>
  <w:style w:type="paragraph" w:styleId="14">
    <w:name w:val="Plain Text"/>
    <w:basedOn w:val="1"/>
    <w:next w:val="1"/>
    <w:link w:val="32"/>
    <w:qFormat/>
    <w:uiPriority w:val="0"/>
    <w:rPr>
      <w:rFonts w:ascii="宋体" w:hAnsi="Courier New"/>
    </w:rPr>
  </w:style>
  <w:style w:type="paragraph" w:styleId="15">
    <w:name w:val="Date"/>
    <w:basedOn w:val="1"/>
    <w:next w:val="1"/>
    <w:link w:val="35"/>
    <w:qFormat/>
    <w:uiPriority w:val="0"/>
    <w:rPr>
      <w:rFonts w:eastAsia="仿宋_GB2312"/>
      <w:b/>
      <w:sz w:val="44"/>
      <w:szCs w:val="20"/>
    </w:rPr>
  </w:style>
  <w:style w:type="paragraph" w:styleId="16">
    <w:name w:val="Body Text Indent 2"/>
    <w:basedOn w:val="1"/>
    <w:qFormat/>
    <w:uiPriority w:val="0"/>
    <w:pPr>
      <w:ind w:left="425"/>
    </w:pPr>
    <w:rPr>
      <w:sz w:val="28"/>
      <w:szCs w:val="20"/>
    </w:rPr>
  </w:style>
  <w:style w:type="paragraph" w:styleId="17">
    <w:name w:val="Balloon Text"/>
    <w:basedOn w:val="1"/>
    <w:semiHidden/>
    <w:qFormat/>
    <w:uiPriority w:val="0"/>
    <w:rPr>
      <w:sz w:val="18"/>
      <w:szCs w:val="18"/>
    </w:rPr>
  </w:style>
  <w:style w:type="paragraph" w:styleId="18">
    <w:name w:val="footer"/>
    <w:basedOn w:val="1"/>
    <w:link w:val="36"/>
    <w:qFormat/>
    <w:uiPriority w:val="99"/>
    <w:pPr>
      <w:tabs>
        <w:tab w:val="center" w:pos="4153"/>
        <w:tab w:val="right" w:pos="8306"/>
      </w:tabs>
      <w:snapToGrid w:val="0"/>
      <w:jc w:val="left"/>
    </w:pPr>
    <w:rPr>
      <w:sz w:val="18"/>
      <w:szCs w:val="20"/>
    </w:rPr>
  </w:style>
  <w:style w:type="paragraph" w:styleId="19">
    <w:name w:val="header"/>
    <w:basedOn w:val="1"/>
    <w:link w:val="37"/>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semiHidden/>
    <w:qFormat/>
    <w:uiPriority w:val="0"/>
    <w:pPr>
      <w:tabs>
        <w:tab w:val="right" w:leader="dot" w:pos="8296"/>
      </w:tabs>
      <w:spacing w:before="120" w:after="120"/>
    </w:pPr>
    <w:rPr>
      <w:rFonts w:ascii="宋体" w:hAnsi="宋体"/>
      <w:caps/>
      <w:color w:val="000000"/>
      <w:szCs w:val="44"/>
    </w:rPr>
  </w:style>
  <w:style w:type="paragraph" w:styleId="21">
    <w:name w:val="Body Text Indent 3"/>
    <w:basedOn w:val="1"/>
    <w:qFormat/>
    <w:uiPriority w:val="0"/>
    <w:pPr>
      <w:spacing w:line="380" w:lineRule="exact"/>
      <w:ind w:firstLine="420" w:firstLineChars="200"/>
    </w:pPr>
    <w:rPr>
      <w:color w:val="FF0000"/>
    </w:rPr>
  </w:style>
  <w:style w:type="paragraph" w:styleId="22">
    <w:name w:val="toc 2"/>
    <w:basedOn w:val="1"/>
    <w:next w:val="1"/>
    <w:uiPriority w:val="0"/>
    <w:pPr>
      <w:ind w:left="420" w:leftChars="200"/>
    </w:pPr>
  </w:style>
  <w:style w:type="paragraph" w:styleId="23">
    <w:name w:val="Body Text 2"/>
    <w:basedOn w:val="1"/>
    <w:qFormat/>
    <w:uiPriority w:val="0"/>
    <w:pPr>
      <w:spacing w:line="300" w:lineRule="auto"/>
    </w:pPr>
    <w:rPr>
      <w:rFonts w:ascii="宋体" w:hAnsi="宋体"/>
      <w:color w:val="0000FF"/>
      <w:sz w:val="24"/>
    </w:rPr>
  </w:style>
  <w:style w:type="paragraph" w:styleId="24">
    <w:name w:val="HTML Preformatted"/>
    <w:basedOn w:val="1"/>
    <w:link w:val="3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25">
    <w:name w:val="annotation subject"/>
    <w:basedOn w:val="12"/>
    <w:next w:val="12"/>
    <w:link w:val="39"/>
    <w:qFormat/>
    <w:uiPriority w:val="0"/>
    <w:rPr>
      <w:b/>
      <w:bCs/>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page number"/>
    <w:qFormat/>
    <w:uiPriority w:val="0"/>
  </w:style>
  <w:style w:type="character" w:styleId="30">
    <w:name w:val="Hyperlink"/>
    <w:qFormat/>
    <w:uiPriority w:val="99"/>
    <w:rPr>
      <w:color w:val="0000FF"/>
      <w:u w:val="single"/>
    </w:rPr>
  </w:style>
  <w:style w:type="character" w:styleId="31">
    <w:name w:val="annotation reference"/>
    <w:qFormat/>
    <w:uiPriority w:val="0"/>
    <w:rPr>
      <w:sz w:val="21"/>
      <w:szCs w:val="21"/>
    </w:rPr>
  </w:style>
  <w:style w:type="character" w:customStyle="1" w:styleId="32">
    <w:name w:val="纯文本 Char"/>
    <w:link w:val="14"/>
    <w:qFormat/>
    <w:uiPriority w:val="0"/>
    <w:rPr>
      <w:rFonts w:ascii="宋体" w:hAnsi="Courier New"/>
      <w:kern w:val="2"/>
      <w:sz w:val="21"/>
      <w:szCs w:val="24"/>
    </w:rPr>
  </w:style>
  <w:style w:type="character" w:customStyle="1" w:styleId="33">
    <w:name w:val="标题 1 Char"/>
    <w:link w:val="6"/>
    <w:qFormat/>
    <w:uiPriority w:val="0"/>
    <w:rPr>
      <w:b/>
      <w:kern w:val="44"/>
      <w:sz w:val="44"/>
      <w:szCs w:val="20"/>
    </w:rPr>
  </w:style>
  <w:style w:type="character" w:customStyle="1" w:styleId="34">
    <w:name w:val="批注文字 Char"/>
    <w:link w:val="12"/>
    <w:qFormat/>
    <w:uiPriority w:val="0"/>
    <w:rPr>
      <w:kern w:val="2"/>
      <w:sz w:val="21"/>
      <w:szCs w:val="24"/>
    </w:rPr>
  </w:style>
  <w:style w:type="character" w:customStyle="1" w:styleId="35">
    <w:name w:val="日期 Char"/>
    <w:link w:val="15"/>
    <w:qFormat/>
    <w:uiPriority w:val="0"/>
    <w:rPr>
      <w:rFonts w:eastAsia="仿宋_GB2312"/>
      <w:b/>
      <w:kern w:val="2"/>
      <w:sz w:val="44"/>
    </w:rPr>
  </w:style>
  <w:style w:type="character" w:customStyle="1" w:styleId="36">
    <w:name w:val="页脚 Char"/>
    <w:link w:val="18"/>
    <w:qFormat/>
    <w:uiPriority w:val="99"/>
    <w:rPr>
      <w:kern w:val="2"/>
      <w:sz w:val="18"/>
    </w:rPr>
  </w:style>
  <w:style w:type="character" w:customStyle="1" w:styleId="37">
    <w:name w:val="页眉 Char"/>
    <w:link w:val="19"/>
    <w:qFormat/>
    <w:uiPriority w:val="99"/>
    <w:rPr>
      <w:kern w:val="2"/>
      <w:sz w:val="18"/>
      <w:szCs w:val="18"/>
    </w:rPr>
  </w:style>
  <w:style w:type="character" w:customStyle="1" w:styleId="38">
    <w:name w:val="HTML 预设格式 Char"/>
    <w:link w:val="24"/>
    <w:qFormat/>
    <w:uiPriority w:val="0"/>
    <w:rPr>
      <w:rFonts w:ascii="黑体" w:hAnsi="Courier New" w:eastAsia="黑体" w:cs="Courier New"/>
    </w:rPr>
  </w:style>
  <w:style w:type="character" w:customStyle="1" w:styleId="39">
    <w:name w:val="批注主题 Char"/>
    <w:link w:val="25"/>
    <w:qFormat/>
    <w:uiPriority w:val="0"/>
    <w:rPr>
      <w:b/>
      <w:bCs/>
      <w:kern w:val="2"/>
      <w:sz w:val="21"/>
      <w:szCs w:val="24"/>
    </w:rPr>
  </w:style>
  <w:style w:type="character" w:customStyle="1" w:styleId="40">
    <w:name w:val="页码1"/>
    <w:qFormat/>
    <w:uiPriority w:val="0"/>
    <w:rPr>
      <w:rFonts w:ascii="宋体" w:hAnsi="宋体" w:eastAsia="宋体"/>
    </w:rPr>
  </w:style>
  <w:style w:type="character" w:customStyle="1" w:styleId="41">
    <w:name w:val="p141"/>
    <w:qFormat/>
    <w:uiPriority w:val="0"/>
    <w:rPr>
      <w:sz w:val="21"/>
      <w:szCs w:val="21"/>
    </w:rPr>
  </w:style>
  <w:style w:type="paragraph" w:customStyle="1" w:styleId="42">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Char"/>
    <w:basedOn w:val="1"/>
    <w:qFormat/>
    <w:uiPriority w:val="0"/>
    <w:pPr>
      <w:widowControl/>
      <w:spacing w:after="160" w:line="240" w:lineRule="exact"/>
      <w:jc w:val="left"/>
    </w:pPr>
    <w:rPr>
      <w:szCs w:val="20"/>
    </w:rPr>
  </w:style>
  <w:style w:type="paragraph" w:customStyle="1" w:styleId="44">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Char Char Char Char"/>
    <w:basedOn w:val="1"/>
    <w:qFormat/>
    <w:uiPriority w:val="0"/>
    <w:rPr>
      <w:rFonts w:ascii="Tahoma" w:hAnsi="Tahoma"/>
      <w:sz w:val="24"/>
      <w:szCs w:val="20"/>
    </w:rPr>
  </w:style>
  <w:style w:type="paragraph" w:customStyle="1" w:styleId="46">
    <w:name w:val="_Style 17"/>
    <w:basedOn w:val="1"/>
    <w:qFormat/>
    <w:uiPriority w:val="0"/>
    <w:rPr>
      <w:rFonts w:ascii="Tahoma" w:hAnsi="Tahoma"/>
      <w:sz w:val="24"/>
      <w:szCs w:val="20"/>
    </w:rPr>
  </w:style>
  <w:style w:type="paragraph" w:customStyle="1" w:styleId="47">
    <w:name w:val="Char Char Char Char Char Char Char Char Char Char"/>
    <w:basedOn w:val="1"/>
    <w:uiPriority w:val="0"/>
    <w:rPr>
      <w:rFonts w:ascii="Tahoma" w:hAnsi="Tahoma"/>
      <w:sz w:val="24"/>
      <w:szCs w:val="20"/>
    </w:rPr>
  </w:style>
  <w:style w:type="paragraph" w:customStyle="1" w:styleId="48">
    <w:name w:val="正文_3"/>
    <w:qFormat/>
    <w:uiPriority w:val="0"/>
    <w:rPr>
      <w:rFonts w:ascii="Times New Roman" w:hAnsi="Times New Roman" w:eastAsia="宋体" w:cs="Times New Roman"/>
      <w:sz w:val="21"/>
      <w:lang w:val="en-US" w:eastAsia="zh-CN" w:bidi="ar-SA"/>
    </w:rPr>
  </w:style>
  <w:style w:type="paragraph" w:customStyle="1" w:styleId="49">
    <w:name w:val="Char1 Char Char Char Char Char Char Char Char Char"/>
    <w:basedOn w:val="1"/>
    <w:qFormat/>
    <w:uiPriority w:val="0"/>
    <w:pPr>
      <w:widowControl/>
      <w:spacing w:line="400" w:lineRule="exact"/>
      <w:jc w:val="center"/>
    </w:pPr>
    <w:rPr>
      <w:rFonts w:ascii="Verdana" w:hAnsi="Verdana" w:cs="Verdana"/>
      <w:kern w:val="0"/>
      <w:szCs w:val="21"/>
      <w:lang w:eastAsia="en-US"/>
    </w:rPr>
  </w:style>
  <w:style w:type="paragraph" w:customStyle="1" w:styleId="50">
    <w:name w:val="xl24"/>
    <w:basedOn w:val="1"/>
    <w:qFormat/>
    <w:uiPriority w:val="0"/>
    <w:pPr>
      <w:widowControl/>
      <w:spacing w:before="100" w:after="100"/>
      <w:jc w:val="center"/>
      <w:textAlignment w:val="center"/>
    </w:pPr>
    <w:rPr>
      <w:rFonts w:ascii="宋体" w:hAnsi="宋体"/>
      <w:kern w:val="0"/>
      <w:sz w:val="24"/>
      <w:szCs w:val="20"/>
    </w:rPr>
  </w:style>
  <w:style w:type="paragraph" w:customStyle="1" w:styleId="51">
    <w:name w:val="样式1"/>
    <w:basedOn w:val="1"/>
    <w:qFormat/>
    <w:uiPriority w:val="0"/>
    <w:pPr>
      <w:adjustRightInd w:val="0"/>
    </w:pPr>
    <w:rPr>
      <w:rFonts w:ascii="宋体" w:hAnsi="宋体"/>
      <w:kern w:val="0"/>
      <w:szCs w:val="21"/>
    </w:rPr>
  </w:style>
  <w:style w:type="paragraph" w:customStyle="1" w:styleId="52">
    <w:name w:val="xl43"/>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53">
    <w:name w:val="_Style 3"/>
    <w:unhideWhenUsed/>
    <w:qFormat/>
    <w:uiPriority w:val="0"/>
    <w:pPr>
      <w:widowControl w:val="0"/>
      <w:jc w:val="both"/>
    </w:pPr>
    <w:rPr>
      <w:rFonts w:ascii="Calibri" w:hAnsi="Calibri" w:eastAsia="宋体" w:cs="Times New Roman"/>
      <w:kern w:val="2"/>
      <w:sz w:val="21"/>
      <w:lang w:val="en-US" w:eastAsia="zh-CN" w:bidi="ar-SA"/>
    </w:rPr>
  </w:style>
  <w:style w:type="paragraph" w:customStyle="1" w:styleId="54">
    <w:name w:val="_Style 52"/>
    <w:unhideWhenUsed/>
    <w:qFormat/>
    <w:uiPriority w:val="99"/>
    <w:rPr>
      <w:rFonts w:ascii="Times New Roman" w:hAnsi="Times New Roman" w:eastAsia="宋体" w:cs="Times New Roman"/>
      <w:kern w:val="2"/>
      <w:sz w:val="21"/>
      <w:szCs w:val="24"/>
      <w:lang w:val="en-US" w:eastAsia="zh-CN" w:bidi="ar-SA"/>
    </w:rPr>
  </w:style>
  <w:style w:type="character" w:customStyle="1" w:styleId="55">
    <w:name w:val="_Style 53"/>
    <w:unhideWhenUsed/>
    <w:qFormat/>
    <w:uiPriority w:val="99"/>
    <w:rPr>
      <w:color w:val="605E5C"/>
      <w:shd w:val="clear" w:color="auto" w:fill="E1DFDD"/>
    </w:rPr>
  </w:style>
  <w:style w:type="paragraph" w:customStyle="1" w:styleId="56">
    <w:name w:val="WPSOffice手动目录 1"/>
    <w:qFormat/>
    <w:uiPriority w:val="0"/>
    <w:rPr>
      <w:rFonts w:ascii="Times New Roman" w:hAnsi="Times New Roman" w:eastAsia="宋体" w:cs="Times New Roman"/>
      <w:lang w:val="en-US" w:eastAsia="zh-CN" w:bidi="ar-SA"/>
    </w:rPr>
  </w:style>
  <w:style w:type="paragraph" w:customStyle="1" w:styleId="57">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58">
    <w:name w:val="WPSOffice手动目录 3"/>
    <w:uiPriority w:val="0"/>
    <w:pPr>
      <w:ind w:left="400" w:leftChars="400"/>
    </w:pPr>
    <w:rPr>
      <w:rFonts w:ascii="Times New Roman" w:hAnsi="Times New Roman" w:eastAsia="宋体" w:cs="Times New Roman"/>
      <w:lang w:val="en-US" w:eastAsia="zh-CN" w:bidi="ar-SA"/>
    </w:rPr>
  </w:style>
  <w:style w:type="paragraph" w:customStyle="1" w:styleId="59">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csnie</Company>
  <Pages>43</Pages>
  <Words>17763</Words>
  <Characters>19391</Characters>
  <Lines>41</Lines>
  <Paragraphs>46</Paragraphs>
  <TotalTime>1</TotalTime>
  <ScaleCrop>false</ScaleCrop>
  <LinksUpToDate>false</LinksUpToDate>
  <CharactersWithSpaces>21262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2012-02-27T05:50:00Z</dcterms:created>
  <dc:creator>yangyong</dc:creator>
  <cp:lastModifiedBy>SHIELD</cp:lastModifiedBy>
  <cp:lastPrinted>2022-09-29T10:43:00Z</cp:lastPrinted>
  <dcterms:modified xsi:type="dcterms:W3CDTF">2022-09-30T07:57:31Z</dcterms:modified>
  <dc:title>招标编号：0809-1540GZG33403</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E2A08E42EFCB4842849AC367B854B10E</vt:lpwstr>
  </property>
</Properties>
</file>